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3758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</w:t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некоторых</w:t>
      </w:r>
      <w:r>
        <w:rPr>
          <w:b/>
          <w:color w:val="000000"/>
          <w:sz w:val="28"/>
          <w:szCs w:val="28"/>
        </w:rPr>
        <w:t xml:space="preserve"> постановлений </w:t>
      </w:r>
      <w:r>
        <w:rPr>
          <w:b/>
          <w:color w:val="000000"/>
          <w:sz w:val="28"/>
          <w:szCs w:val="28"/>
        </w:rPr>
      </w:r>
      <w:r/>
      <w:r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Юдинское</w:t>
      </w:r>
      <w:r>
        <w:rPr>
          <w:b/>
          <w:bCs/>
          <w:color w:val="000000"/>
          <w:sz w:val="28"/>
          <w:szCs w:val="28"/>
        </w:rPr>
      </w:r>
      <w:r/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бюджетным вопросам и оплате труда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sz w:val="28"/>
          <w:szCs w:val="28"/>
        </w:rPr>
        <w:t xml:space="preserve">Руководствуясь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статьями 33 и 38 Устава Великоустюгского муниципального округа, </w:t>
      </w:r>
      <w:r/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Признать утратившими силу постановления администрации сельского поселения </w:t>
      </w:r>
      <w:r>
        <w:rPr>
          <w:bCs/>
          <w:sz w:val="28"/>
          <w:szCs w:val="28"/>
        </w:rPr>
        <w:t xml:space="preserve">Юдинское</w:t>
      </w:r>
      <w:r>
        <w:rPr>
          <w:bCs/>
          <w:sz w:val="28"/>
          <w:szCs w:val="28"/>
        </w:rPr>
        <w:t xml:space="preserve"> по бюджетным вопросам и оплате труда </w:t>
      </w:r>
      <w:r>
        <w:rPr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2"/>
        <w:ind w:left="0" w:right="0" w:firstLine="0"/>
        <w:jc w:val="left"/>
        <w:rPr>
          <w:szCs w:val="26"/>
        </w:rPr>
      </w:pPr>
      <w:r>
        <w:rPr>
          <w:szCs w:val="26"/>
        </w:rPr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к постановлению администрации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 w:val="24"/>
          <w:szCs w:val="24"/>
        </w:rPr>
        <w:t xml:space="preserve">Великоустюгского муниципального округа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2"/>
        <w:ind w:left="4678" w:right="0" w:firstLine="0"/>
        <w:jc w:val="center"/>
        <w:rPr>
          <w:b/>
          <w:sz w:val="26"/>
          <w:szCs w:val="26"/>
        </w:rPr>
      </w:pPr>
      <w:r>
        <w:rPr>
          <w:sz w:val="24"/>
          <w:szCs w:val="24"/>
        </w:rPr>
        <w:t xml:space="preserve">от 18.11.2024 № 3758</w:t>
      </w: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</w:p>
    <w:p>
      <w:pPr>
        <w:pStyle w:val="1_2436"/>
        <w:jc w:val="both"/>
        <w:spacing w:before="0" w:after="0"/>
        <w:rPr>
          <w:b/>
          <w:sz w:val="26"/>
          <w:szCs w:val="26"/>
        </w:rPr>
      </w:pP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</w:p>
    <w:p>
      <w:pPr>
        <w:pStyle w:val="842"/>
        <w:jc w:val="both"/>
        <w:rPr>
          <w:b/>
          <w:sz w:val="26"/>
          <w:szCs w:val="26"/>
        </w:rPr>
      </w:pP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  <w:r>
        <w:rPr>
          <w:b/>
          <w:sz w:val="24"/>
          <w:szCs w:val="24"/>
          <w:lang w:eastAsia="zh-CN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</w:t>
      </w:r>
      <w:r>
        <w:rPr>
          <w:b/>
          <w:bCs/>
          <w:sz w:val="24"/>
          <w:szCs w:val="24"/>
        </w:rPr>
      </w:r>
    </w:p>
    <w:p>
      <w:pPr>
        <w:pStyle w:val="971"/>
        <w:jc w:val="center"/>
        <w:spacing w:before="0" w:beforeAutospacing="0" w:after="0" w:afterAutospac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постановлений </w:t>
      </w:r>
      <w:r>
        <w:rPr>
          <w:b/>
          <w:bCs/>
          <w:sz w:val="24"/>
          <w:szCs w:val="24"/>
        </w:rPr>
        <w:t xml:space="preserve">администрации сельского поселения </w:t>
      </w:r>
      <w:r>
        <w:rPr>
          <w:b/>
          <w:bCs/>
          <w:sz w:val="24"/>
          <w:szCs w:val="24"/>
        </w:rPr>
        <w:t xml:space="preserve">Юдинское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12.03.2008 № 23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материальном стимулировании работников администрации сельского поселения Юдинское»;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2) от 09.04.2008 № 30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«Об утверждении порядка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выплаты премии за выполнение особо важных и сложных заданий»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3)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15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.0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3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.2011 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71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 «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порядка определения предельно допустимого значения просроченной кредиторской задолженности муниципального бюджетного учреждения,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подведомственного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администрации сельского поселения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Юдинское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, превышение которой влечёт расторжение трудового договора с руководителем муниципального бюджетного учреждения по инициативе работодателя в соответствии с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Трудовым кодексом РФ»;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4) от 08.04.2011 № 102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порядке составления, утверждения и ведения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бюджетных смет казённых учреждений, подведомственных администрации сельского поселения Юдинское»;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5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)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19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.0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4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.2011 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122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 «О внесении изменени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й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u w:val="none"/>
        </w:rPr>
        <w:t xml:space="preserve">в постановление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Главы сельского поселения Юдинское от 22.07.2009 № 68 «Об утверждении положения об оплате труда работников муниципальных учреждений культуры, финансируемых из бюджета сельского поселения Юдинское»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6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2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.11.2011 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296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Об утверждении Порядка открытия и ведения лицевых счетов бюджетным учреждениям поселения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</w:rPr>
        <w:t xml:space="preserve">в администрации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сельского поселения Юдинское 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и осуществления операций со средствами бюджетных учреждений поселения»;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)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01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.201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12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«Об утверждении порядка блокировки расходов бюджета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Юдинское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8) от 18.01.2013 № 13 «Об утверждении порядка открытия и ведения лицевых счетов  автономным учреждением в администрации сельского поселения Юдинское»;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9)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 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8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01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.201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3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18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 Порядке осуществления муниципальным бюджетным учреждением сельского поселения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Юдинское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полномочий органа местного самоуправления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10) от 18.01.2024 № 20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перечне полномочий органа местного самоуправления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по исполнению публичных обязательств перед физическим лицом, подлежащих исполнению в денежной форме»;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11) от 25.10.2013 № 235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«О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б утверждении Порядка предоставления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отчета об исполнении бюджета сельского поселения Юдинское»;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12) от 12.12.2013 № 301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О внесении изменений в постановление администрации сельского поселения Юдинское от 27.02.2006 г. № 20 «Об утверждении Положения о порядке расходования средств резервного фонда администрации сельского поселения Юдинское»;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13) от 13.08.2018 № 104</w:t>
      </w:r>
      <w:r>
        <w:rPr>
          <w:rFonts w:ascii="Times New Roman" w:hAnsi="Times New Roman"/>
          <w:b w:val="0"/>
          <w:bCs w:val="0"/>
          <w:caps w:val="0"/>
          <w:smallCaps w:val="0"/>
          <w:color w:val="000000"/>
          <w:spacing w:val="0"/>
          <w:sz w:val="24"/>
          <w:szCs w:val="24"/>
        </w:rPr>
        <w:t xml:space="preserve"> «О внесении изменений в постановление Главы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сельского поселения Юдинское от 27.02.2006 № 20 «Об утверждении Положения о порядке расходования средств резервного фонда администрации сельского </w:t>
      </w:r>
      <w:r>
        <w:rPr>
          <w:rFonts w:ascii="Times New Roman" w:hAnsi="Times New Roman"/>
          <w:b w:val="0"/>
          <w:bCs w:val="0"/>
          <w:caps w:val="0"/>
          <w:smallCaps w:val="0"/>
          <w:color w:val="000000"/>
          <w:spacing w:val="0"/>
          <w:sz w:val="24"/>
          <w:szCs w:val="24"/>
        </w:rPr>
        <w:t xml:space="preserve">поселения Юдинское»;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4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) от 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30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.07.2021 № 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8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4 «Об утверждении порядка формирования 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перечня налоговых расходов сельского поселения 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Юдинское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 и оценки налоговых расходов сельского поселения 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Юдинское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»;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0"/>
        <w:jc w:val="center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2"/>
          <w:szCs w:val="22"/>
        </w:rPr>
        <w:t xml:space="preserve">2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r>
    </w:p>
    <w:p>
      <w:pPr>
        <w:pStyle w:val="879"/>
        <w:ind w:left="0" w:right="0" w:firstLine="709"/>
        <w:jc w:val="both"/>
        <w:spacing w:before="0" w:after="0"/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  <w:lang w:eastAsia="zh-CN"/>
        </w:rPr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highlight w:val="none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15) от 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06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.0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9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.2021 № 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97</w:t>
      </w:r>
      <w:r>
        <w:rPr>
          <w:rFonts w:cs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 «О порядке перечисления остатков средств муниципальных бюджетных учреждений, находящихся на казначейских счетах, в бюджет поселения и их возврата на казначейский счет, с которого они были ранее перечислены»;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6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)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20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04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.2021 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47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 «Об утверждении Положения об оплате труда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работников муниципальных учреждений культуры сельского поселения Юдинское»;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</w:r>
    </w:p>
    <w:p>
      <w:pPr>
        <w:pStyle w:val="879"/>
        <w:ind w:left="0" w:right="0" w:firstLine="709"/>
        <w:jc w:val="both"/>
        <w:spacing w:before="0" w:after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lang w:eastAsia="zh-CN"/>
        </w:rPr>
        <w:t xml:space="preserve">17) от 24.09.2021 № 105 «О внесений изменений в Положение об оплате труда работников муниципальных учреждений культуры сельского поселения Юдинское».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center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_2436" w:customStyle="1">
    <w:name w:val="headertext"/>
    <w:basedOn w:val="621"/>
    <w:next w:val="821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48</cp:revision>
  <dcterms:created xsi:type="dcterms:W3CDTF">2023-12-01T11:36:00Z</dcterms:created>
  <dcterms:modified xsi:type="dcterms:W3CDTF">2024-11-18T10:37:47Z</dcterms:modified>
  <cp:version>917504</cp:version>
</cp:coreProperties>
</file>