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ПРОТОКОЛ </w:t>
      </w:r>
      <w:r>
        <w:rPr>
          <w:rFonts w:ascii="Tinos" w:hAnsi="Tinos"/>
          <w:b/>
          <w:bCs/>
          <w:sz w:val="26"/>
          <w:szCs w:val="26"/>
        </w:rPr>
        <w:t>№1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рассмотрения заявок и допуску к участию в аукционе 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на право размещения нестационарного объекта </w:t>
      </w:r>
      <w:r>
        <w:rPr>
          <w:rFonts w:ascii="Tinos" w:hAnsi="Tinos"/>
          <w:b/>
          <w:bCs/>
          <w:sz w:val="26"/>
          <w:szCs w:val="26"/>
        </w:rPr>
        <w:t>по оказанию услуг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</w:r>
    </w:p>
    <w:p>
      <w:pPr>
        <w:pStyle w:val="Style38"/>
        <w:bidi w:val="0"/>
        <w:jc w:val="left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>11</w:t>
      </w:r>
      <w:r>
        <w:rPr>
          <w:rFonts w:ascii="Tinos" w:hAnsi="Tinos"/>
          <w:b w:val="false"/>
          <w:bCs w:val="false"/>
          <w:sz w:val="26"/>
          <w:szCs w:val="26"/>
        </w:rPr>
        <w:t>.1</w:t>
      </w:r>
      <w:r>
        <w:rPr>
          <w:rFonts w:ascii="Tinos" w:hAnsi="Tinos"/>
          <w:b w:val="false"/>
          <w:bCs w:val="false"/>
          <w:sz w:val="26"/>
          <w:szCs w:val="26"/>
        </w:rPr>
        <w:t>2</w:t>
      </w:r>
      <w:r>
        <w:rPr>
          <w:rFonts w:ascii="Tinos" w:hAnsi="Tinos"/>
          <w:b w:val="false"/>
          <w:bCs w:val="false"/>
          <w:sz w:val="26"/>
          <w:szCs w:val="26"/>
        </w:rPr>
        <w:t>.202</w:t>
      </w:r>
      <w:r>
        <w:rPr>
          <w:rFonts w:ascii="Tinos" w:hAnsi="Tinos"/>
          <w:b w:val="false"/>
          <w:bCs w:val="false"/>
          <w:sz w:val="26"/>
          <w:szCs w:val="26"/>
        </w:rPr>
        <w:t>4</w:t>
      </w:r>
      <w:r>
        <w:rPr>
          <w:rFonts w:ascii="Tinos" w:hAnsi="Tinos"/>
          <w:b w:val="false"/>
          <w:b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sz w:val="26"/>
          <w:szCs w:val="26"/>
        </w:rPr>
        <w:t xml:space="preserve">в 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1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5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.00</w:t>
      </w:r>
      <w:r>
        <w:rPr>
          <w:rFonts w:ascii="Tinos" w:hAnsi="Tinos"/>
          <w:b w:val="false"/>
          <w:bCs w:val="false"/>
          <w:sz w:val="26"/>
          <w:szCs w:val="26"/>
        </w:rPr>
        <w:t xml:space="preserve">    каб.46</w:t>
      </w:r>
      <w:r>
        <w:rPr>
          <w:rFonts w:ascii="Tinos" w:hAnsi="Tinos"/>
          <w:b w:val="false"/>
          <w:bCs w:val="false"/>
          <w:sz w:val="26"/>
          <w:szCs w:val="26"/>
        </w:rPr>
        <w:t xml:space="preserve">                                                                      г. Великий Устюг</w:t>
      </w:r>
    </w:p>
    <w:p>
      <w:pPr>
        <w:pStyle w:val="Style38"/>
        <w:bidi w:val="0"/>
        <w:jc w:val="left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>Комиссия в составе: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 xml:space="preserve">Боринская Н.П. - заместитель Главы Великоустюгского муниципального округа, начальник управления экономического развития 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>(председатель комиссии)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Удальцова И.Н.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 xml:space="preserve"> -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начальник отдела потребительского рынка управления экономического развития администрации округа 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>(заместитель председателя)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Авериной Л.Н.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 xml:space="preserve"> -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старшего инспектора отдела потребительского рынка управления экономического развития администрации округа 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>(секретарь комиссии)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Бестужева Ю.В. - председатель Комитета по управлению имуществом администрации Великоустюгского муниципального округа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Пахомова С.В. - заместитель начальника финансового управления, начальник отдела финансов хозяйственного комплекса и контроля администрации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еликоустюгского муниципального округа.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Ямов П.В. - начальник отдела градостроительства и архитектуры управления строительства и жилищно - коммунального хозяйства администрации 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еликоустюгского муниципального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округа.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Предмет аукциона:</w:t>
      </w:r>
    </w:p>
    <w:p>
      <w:pPr>
        <w:pStyle w:val="Style38"/>
        <w:bidi w:val="0"/>
        <w:ind w:left="0" w:right="0" w:hanging="0"/>
        <w:jc w:val="both"/>
        <w:rPr>
          <w:rFonts w:ascii="Tinos" w:hAnsi="Tinos" w:eastAsia="Calibri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</w:pP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  <w:tab/>
        <w:t xml:space="preserve">Лот № 1 – размещение аттракциона (прокат) в г. Великий Устюг, ул. Набережная, в районе ц. Прокопия Праведного (спуск к реке Сухона) - 2 места.                </w:t>
      </w:r>
    </w:p>
    <w:p>
      <w:pPr>
        <w:pStyle w:val="Normal"/>
        <w:tabs>
          <w:tab w:val="clear" w:pos="709"/>
          <w:tab w:val="left" w:pos="6030" w:leader="none"/>
        </w:tabs>
        <w:bidi w:val="0"/>
        <w:ind w:left="0" w:right="0" w:hanging="0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 xml:space="preserve">           </w:t>
      </w:r>
      <w:r>
        <w:rPr>
          <w:rFonts w:ascii="Tinos" w:hAnsi="Tinos"/>
          <w:color w:val="000000"/>
          <w:sz w:val="26"/>
          <w:szCs w:val="26"/>
        </w:rPr>
        <w:t xml:space="preserve">Лот № 2 – размещение аттракциона (горка) в г. Великий Устюг, пл. Ленина - 1 место.  </w:t>
      </w:r>
    </w:p>
    <w:p>
      <w:pPr>
        <w:pStyle w:val="Normal"/>
        <w:tabs>
          <w:tab w:val="clear" w:pos="709"/>
          <w:tab w:val="left" w:pos="6030" w:leader="none"/>
        </w:tabs>
        <w:bidi w:val="0"/>
        <w:ind w:left="0" w:right="0" w:firstLine="709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 xml:space="preserve">Лот № 3 – размещение аттракциона (прокат) в г. Великий Устюг, ул. Набережная, в районе ц. Николы Гостиного - 2 место. </w:t>
      </w:r>
    </w:p>
    <w:p>
      <w:pPr>
        <w:pStyle w:val="Normal"/>
        <w:tabs>
          <w:tab w:val="clear" w:pos="709"/>
          <w:tab w:val="left" w:pos="6030" w:leader="none"/>
        </w:tabs>
        <w:bidi w:val="0"/>
        <w:ind w:left="0" w:right="0" w:firstLine="709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 xml:space="preserve">Лот № 4 - размещение аттракциона (катание на детских квадроциклах, снегоходах) в г. Великий Устюг, пл. Ленина - 2 места.  </w:t>
      </w:r>
    </w:p>
    <w:p>
      <w:pPr>
        <w:pStyle w:val="Style38"/>
        <w:bidi w:val="0"/>
        <w:ind w:left="0" w:right="0" w:hanging="0"/>
        <w:jc w:val="both"/>
        <w:rPr>
          <w:rFonts w:ascii="Tinos" w:hAnsi="Tinos" w:eastAsia="Calibri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</w:pP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  <w:tab/>
        <w:t xml:space="preserve">Лот № 5 – размещение аттракциона (катание на 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  <w:t>лошадях,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  <w:t xml:space="preserve">гужевых повозках) в г. Великий Устюг, ул. Набережная, от д.64 до ц. Николы Гостиного - 3 места. 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Извещение о проведении аукциона на право размещения нестационарного торгового объекта размещено на официальном сайте Великоустюгского муниципального округа  35velikoustugskij.gosuslugi.ru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08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202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4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года в разделе «Деятельность» подраздел «Аукционы, конкурсы по размещению нестационарных объектов»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Начало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и окончание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приема заявок с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.202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4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до 17.00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10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2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.202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4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 xml:space="preserve">Лот №1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Место № 1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поступил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 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заявк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4"/>
        <w:gridCol w:w="1525"/>
        <w:gridCol w:w="2041"/>
        <w:gridCol w:w="2267"/>
        <w:gridCol w:w="1988"/>
      </w:tblGrid>
      <w:tr>
        <w:trPr/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Заявка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№1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05.12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.202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в 14: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4"/>
        <w:gridCol w:w="1525"/>
        <w:gridCol w:w="2041"/>
        <w:gridCol w:w="2267"/>
        <w:gridCol w:w="1988"/>
      </w:tblGrid>
      <w:tr>
        <w:trPr/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ИП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Дресвянин А.Н.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ab/>
        <w:t xml:space="preserve">Место № 2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поступил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а 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 xml:space="preserve"> заявк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.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9"/>
        <w:gridCol w:w="1640"/>
        <w:gridCol w:w="2041"/>
        <w:gridCol w:w="2267"/>
        <w:gridCol w:w="1988"/>
      </w:tblGrid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Заявка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№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05.12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.202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в 14: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9"/>
        <w:gridCol w:w="1640"/>
        <w:gridCol w:w="1818"/>
        <w:gridCol w:w="2490"/>
        <w:gridCol w:w="1988"/>
      </w:tblGrid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ИП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Дресвянин А.Н.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Комиссия рассмотре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ла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представленные документы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 Лоту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Приняла р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ешение :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В соответствии с пунктом 3.13. раздела 3 приложения № 3 постановления администрации Великоустюгского муниципального округа от 06.04.2023 № 866 «Об утверждении порядка организации и размещения нестационарных торговых объектов и объектов по оказанию услуг населению на территории Великоустюгского муниципального округа»,  признать аукцион на право размещения нестационарного объекта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по оказанию услуг населению на территории Великоустюгского муниципального округа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 лоту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 места 1,2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(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  <w:t>г. Великий Устюг, ул. Набережная, в районе ц.Прокопия Праведного (спуск к реке Сухона)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не состоявшимся.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Организатору аукциона, отделу потребительского рынка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управления экономического развития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администрации Великоустюгского муниципального округа,  передать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единственному участнику аукциона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один экземпляр протокола и проект договора на размещение нестационарного объекта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по оказанию услуг населению на территории Великоустюгского муниципального округа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в течение трех рабочих дней с момента подписания протокола.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 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ab/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Л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от №2</w:t>
      </w:r>
    </w:p>
    <w:p>
      <w:pPr>
        <w:pStyle w:val="Style38"/>
        <w:bidi w:val="0"/>
        <w:ind w:left="0" w:right="0" w:hanging="0"/>
        <w:jc w:val="left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оступил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заявк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2"/>
        <w:gridCol w:w="1533"/>
        <w:gridCol w:w="1981"/>
        <w:gridCol w:w="2490"/>
        <w:gridCol w:w="1989"/>
      </w:tblGrid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Заявка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№ 3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05.12.2024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в 14: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2"/>
        <w:gridCol w:w="1533"/>
        <w:gridCol w:w="1981"/>
        <w:gridCol w:w="2490"/>
        <w:gridCol w:w="1989"/>
      </w:tblGrid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ИП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Дресвянин А.Н.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Комиссия рассмотре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ла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представленные документы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 Лоту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2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П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риняла р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ешение: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В соответствии с пунктом 3.13. раздела 3 приложения № 3 постановления администрации Великоустюгского муниципального округа от 06.04.2023 № 866 «Об утверждении порядка организации и размещения нестационарных торговых объектов и объектов по оказанию услуг населению на территории Великоустюгского муниципального округа», признать аукцион на право размещения нестационарного объекта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 лоту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2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(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аттракциона (горка)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)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в г. Великий Устюг, пл. Ленина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не состоявшимся.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Организатору аукциона, отделу потребительского рынка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управления экономического развития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администрации Великоустюгского муниципального округа, передать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единственному участнику аукциона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один экземпляр протокола и проект договора на размещение нестационарного объекта в течение трех рабочих дней с момента подписания протокола.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 </w:t>
      </w:r>
    </w:p>
    <w:p>
      <w:pPr>
        <w:pStyle w:val="Normal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ab/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Л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от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3</w:t>
      </w:r>
    </w:p>
    <w:p>
      <w:pPr>
        <w:pStyle w:val="Style38"/>
        <w:bidi w:val="0"/>
        <w:ind w:left="0" w:right="0" w:hanging="0"/>
        <w:jc w:val="left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Место № 1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поступил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 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заявк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7"/>
        <w:gridCol w:w="1582"/>
        <w:gridCol w:w="1817"/>
        <w:gridCol w:w="2490"/>
        <w:gridCol w:w="1989"/>
      </w:tblGrid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Заявка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05.12.2024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в 14: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7"/>
        <w:gridCol w:w="1582"/>
        <w:gridCol w:w="1817"/>
        <w:gridCol w:w="2490"/>
        <w:gridCol w:w="1989"/>
      </w:tblGrid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ИП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Дресвянин А.Н.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ab/>
        <w:t xml:space="preserve">Место № 2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заяв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о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 xml:space="preserve">к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не поступило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Комиссия рассмотре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ла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представленные документы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 Лоту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3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Приняла р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ешение :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  <w:t xml:space="preserve">В соответствии с пунктом 3.13. раздела 3 приложения № 3 постановления администрации Великоустюгского муниципального округа от 06.04.2023 № 866  «Об утверждении порядка организации и размещения нестационарных торговых объектов и объектов по оказанию услуг населению на территории Великоустюгского муниципального округа»,  признать аукцион на право размещения нестационарного объекта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по оказанию услуг населению на территории Великоустюгского муниципального округа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 лоту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3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места 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(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>размещение аттракциона (прокат)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>)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 в г. Великий Устюг, ул. Набережная, в районе ц. Николы Гостиного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  <w:t>)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не состоявшимся.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Организатору аукциона, отделу потребительского рынка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управления экономического развития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администрации Великоустюгского муниципального округа, передать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единственному участнику аукциона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один экземпляр протокола и проект договора на размещение нестационарного объекта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по оказанию услуг населению на территории Великоустюгского муниципального округа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в течение трех рабочих дней с момента подписания протокола.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</w:p>
    <w:p>
      <w:pPr>
        <w:pStyle w:val="Style38"/>
        <w:bidi w:val="0"/>
        <w:ind w:left="0" w:right="0" w:hanging="0"/>
        <w:jc w:val="left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Признать аукцион по лоту № 3 место № 2 не состоявшимся.</w:t>
      </w:r>
    </w:p>
    <w:p>
      <w:pPr>
        <w:pStyle w:val="Style38"/>
        <w:bidi w:val="0"/>
        <w:ind w:left="0" w:right="0" w:hanging="0"/>
        <w:jc w:val="left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 xml:space="preserve">          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Л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от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4</w:t>
      </w:r>
    </w:p>
    <w:p>
      <w:pPr>
        <w:pStyle w:val="Style38"/>
        <w:bidi w:val="0"/>
        <w:ind w:left="0" w:right="0" w:hanging="0"/>
        <w:jc w:val="left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Место № 1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поступил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 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заявк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.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7"/>
        <w:gridCol w:w="1467"/>
        <w:gridCol w:w="1932"/>
        <w:gridCol w:w="2490"/>
        <w:gridCol w:w="1989"/>
      </w:tblGrid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Заявка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№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05.12.2024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в 14: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7"/>
        <w:gridCol w:w="1467"/>
        <w:gridCol w:w="1932"/>
        <w:gridCol w:w="2490"/>
        <w:gridCol w:w="1989"/>
      </w:tblGrid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ИП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Дресвянин А.Н.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ab/>
        <w:t xml:space="preserve">Место № 2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поступил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а 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 xml:space="preserve"> заявк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.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7"/>
        <w:gridCol w:w="1467"/>
        <w:gridCol w:w="1932"/>
        <w:gridCol w:w="2494"/>
        <w:gridCol w:w="1985"/>
      </w:tblGrid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Заявка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№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05.12.2024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в 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5:00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7"/>
        <w:gridCol w:w="1467"/>
        <w:gridCol w:w="1932"/>
        <w:gridCol w:w="2490"/>
        <w:gridCol w:w="1989"/>
      </w:tblGrid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ИП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Дресвянин А.Н.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Комиссия рассмотре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ла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представленные документы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 Лоту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4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Приняла р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ешение :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  <w:t xml:space="preserve">В соответствии с пунктом 3.13. раздела 3 приложения № 3 постановления администрации Великоустюгского муниципального округа от 06.04.2023 № 866 «Об утверждении порядка организации и размещения нестационарных торговых объектов и объектов по оказанию услуг населению на территории Великоустюгского муниципального округа», признать аукцион на право размещения нестационарного объекта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по оказанию услуг населению на территории Великоустюгского муниципального округа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 лоту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4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места 1,2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(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>размещение аттракциона (катание на детских квадроциклах, снегоходах) в г. Великий Устюг, пл. Ленина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>)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не состоявшимся.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Организатору аукциона, отделу потребительского рынка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управления экономического развития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администрации Великоустюгского муниципального округа, передать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единственному участнику аукциона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один экземпляр протокола и проект договора на размещение нестационарного объекта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по оказанию услуг населению на территории Великоустюгского муниципального округа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в течение трех рабочих дней с момента подписания протокола.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 </w:t>
      </w:r>
    </w:p>
    <w:p>
      <w:pPr>
        <w:pStyle w:val="Style38"/>
        <w:bidi w:val="0"/>
        <w:ind w:left="0" w:right="0" w:hanging="0"/>
        <w:jc w:val="left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 xml:space="preserve">          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Л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от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 xml:space="preserve">5 </w:t>
      </w:r>
    </w:p>
    <w:p>
      <w:pPr>
        <w:pStyle w:val="Style38"/>
        <w:bidi w:val="0"/>
        <w:ind w:left="0" w:right="0" w:hanging="0"/>
        <w:jc w:val="left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ab/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Место № 1,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2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поступил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а 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 xml:space="preserve"> заявк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>.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7"/>
        <w:gridCol w:w="1467"/>
        <w:gridCol w:w="1932"/>
        <w:gridCol w:w="2490"/>
        <w:gridCol w:w="1989"/>
      </w:tblGrid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Заявка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№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7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09.12.2024.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в 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7"/>
        <w:gridCol w:w="1467"/>
        <w:gridCol w:w="1932"/>
        <w:gridCol w:w="2490"/>
        <w:gridCol w:w="1989"/>
      </w:tblGrid>
      <w:tr>
        <w:trPr/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Самозанятый Барсуковский А.Г.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-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не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  <w:t xml:space="preserve">По лоту №5 место №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3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заявок не поступило.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Комиссия рассмотре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ла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представленные документы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 Лоту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5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Приняла р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single"/>
        </w:rPr>
        <w:t>ешение :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На основании результатов рассмотрения заявки на участие в аукционе и 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соответствии с пункто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3.8.1 и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3.1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5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. раздела 3 приложения № 3 постановления администрации Великоустюгского муниципального округа от 06.04.2023 № 866 «Об утверждении порядка организации и размещения нестационарных торговых объектов и объектов по оказанию услуг населению на территории Великоустюгского муниципального округа»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комиссия по проведению аукциона приняла решение отказать в допуске к участию в аукционе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на право размещения нестационарного объекта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по оказанию услуг населению на территории Великоустюгского муниципального округа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 лоту №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5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места 1,2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(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катание на лошадях, гужевых повозках)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 в г. Великий Устюг, 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>ул.Набережная, от д.64 до ц. Н.Гостиного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>)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>Барсуковскому А. Г., т. к. представленные в составе документы не соответствуют требованиям аукционной документации. Извещением о проведении аукциона и аукционной документацией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не предусмотрено участие в аукционе физических лиц, являющихся налогоплательщиками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налога на профессиональный доход.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</w:p>
    <w:p>
      <w:pPr>
        <w:pStyle w:val="Style38"/>
        <w:bidi w:val="0"/>
        <w:ind w:left="0" w:right="0" w:hanging="0"/>
        <w:jc w:val="left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  <w:t>По лоту №5 место №3 признать аукцион несостоявшимся.</w:t>
      </w:r>
    </w:p>
    <w:p>
      <w:pPr>
        <w:pStyle w:val="Style38"/>
        <w:bidi w:val="0"/>
        <w:ind w:left="0" w:right="0" w:hanging="0"/>
        <w:jc w:val="left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  <w:u w:val="none"/>
        </w:rPr>
        <w:tab/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Настоящий протокол составлен в 2 экземплярах и подлежит размещению на официальном сайте Великоустюгского муниципального округа в информационно - телекоммуникационной сети Интернет.</w:t>
      </w:r>
    </w:p>
    <w:p>
      <w:pPr>
        <w:pStyle w:val="Style59"/>
        <w:tabs>
          <w:tab w:val="clear" w:pos="709"/>
          <w:tab w:val="left" w:pos="7795" w:leader="none"/>
        </w:tabs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Style59"/>
        <w:tabs>
          <w:tab w:val="clear" w:pos="709"/>
          <w:tab w:val="left" w:pos="3715" w:leader="none"/>
          <w:tab w:val="left" w:pos="3750" w:leader="none"/>
          <w:tab w:val="left" w:pos="3846" w:leader="none"/>
        </w:tabs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Председатель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</w:t>
      </w:r>
      <w:r>
        <w:rPr>
          <w:rFonts w:ascii="Tinos" w:hAnsi="Tinos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  <w:t xml:space="preserve"> </w:t>
      </w:r>
      <w:r>
        <w:rPr>
          <w:rFonts w:ascii="Tinos" w:hAnsi="Tinos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  <w:t xml:space="preserve">подпись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Боринская Н.П.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Зам. председателя                          </w:t>
      </w:r>
      <w:r>
        <w:rPr>
          <w:rFonts w:ascii="Tinos" w:hAnsi="Tinos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  <w:t xml:space="preserve">подпись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У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дальцова И.Н.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Секретарь                                       </w:t>
      </w:r>
      <w:r>
        <w:rPr>
          <w:rFonts w:ascii="Tinos" w:hAnsi="Tinos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  <w:t xml:space="preserve">подпись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Аверина Л.Н.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Члены комиссии                             </w:t>
      </w:r>
      <w:r>
        <w:rPr>
          <w:rFonts w:ascii="Tinos" w:hAnsi="Tinos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  <w:t xml:space="preserve">подпись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Б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естужева Ю.В.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       </w:t>
      </w:r>
      <w:r>
        <w:rPr>
          <w:rFonts w:ascii="Tinos" w:hAnsi="Tinos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  <w:t>подпись</w:t>
      </w:r>
      <w:r>
        <w:rPr>
          <w:rFonts w:ascii="Tinos" w:hAnsi="Tinos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ахомова С.В.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       </w:t>
      </w:r>
      <w:r>
        <w:rPr>
          <w:rFonts w:ascii="Tinos" w:hAnsi="Tinos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Ямов П.В.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230" w:bottom="797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nos">
    <w:charset w:val="01"/>
    <w:family w:val="auto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969</TotalTime>
  <Application>LibreOffice/7.5.6.2$Linux_X86_64 LibreOffice_project/50$Build-2</Application>
  <AppVersion>15.0000</AppVersion>
  <Pages>5</Pages>
  <Words>1379</Words>
  <Characters>9563</Characters>
  <CharactersWithSpaces>11386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2023-08-02T07:59:10Z</dcterms:created>
  <dc:creator/>
  <dc:description/>
  <dc:language>ru-RU</dc:language>
  <cp:lastModifiedBy/>
  <cp:lastPrinted>2024-12-11T16:00:27Z</cp:lastPrinted>
  <dcterms:modified xsi:type="dcterms:W3CDTF">2024-12-12T10:28:34Z</dcterms:modified>
  <cp:revision>19</cp:revision>
  <dc:subject/>
  <dc:title>Default</dc:title>
</cp:coreProperties>
</file>