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8A3" w:rsidRPr="00F15BBC" w:rsidRDefault="00F278A3" w:rsidP="00F278A3">
      <w:pPr>
        <w:pStyle w:val="ConsPlusNormal"/>
        <w:jc w:val="right"/>
        <w:outlineLvl w:val="1"/>
        <w:rPr>
          <w:rFonts w:ascii="Times New Roman" w:hAnsi="Times New Roman" w:cs="Times New Roman"/>
        </w:rPr>
      </w:pPr>
      <w:r w:rsidRPr="00F15BBC">
        <w:rPr>
          <w:rFonts w:ascii="Times New Roman" w:hAnsi="Times New Roman" w:cs="Times New Roman"/>
        </w:rPr>
        <w:t>Приложение 6</w:t>
      </w:r>
    </w:p>
    <w:p w:rsidR="00F278A3" w:rsidRPr="00F15BBC" w:rsidRDefault="00F278A3" w:rsidP="00F278A3">
      <w:pPr>
        <w:pStyle w:val="ConsPlusNormal"/>
        <w:jc w:val="right"/>
        <w:rPr>
          <w:rFonts w:ascii="Times New Roman" w:hAnsi="Times New Roman" w:cs="Times New Roman"/>
        </w:rPr>
      </w:pPr>
      <w:r w:rsidRPr="00F15BBC">
        <w:rPr>
          <w:rFonts w:ascii="Times New Roman" w:hAnsi="Times New Roman" w:cs="Times New Roman"/>
        </w:rPr>
        <w:t>к Положению</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Title"/>
        <w:jc w:val="center"/>
        <w:rPr>
          <w:rFonts w:ascii="Times New Roman" w:hAnsi="Times New Roman" w:cs="Times New Roman"/>
        </w:rPr>
      </w:pPr>
      <w:bookmarkStart w:id="0" w:name="P42421"/>
      <w:bookmarkEnd w:id="0"/>
      <w:r w:rsidRPr="00F15BBC">
        <w:rPr>
          <w:rFonts w:ascii="Times New Roman" w:hAnsi="Times New Roman" w:cs="Times New Roman"/>
        </w:rPr>
        <w:t>ПОРЯДОК</w:t>
      </w:r>
    </w:p>
    <w:p w:rsidR="00F278A3" w:rsidRPr="00F15BBC" w:rsidRDefault="00F278A3" w:rsidP="00F278A3">
      <w:pPr>
        <w:pStyle w:val="ConsPlusTitle"/>
        <w:jc w:val="center"/>
        <w:rPr>
          <w:rFonts w:ascii="Times New Roman" w:hAnsi="Times New Roman" w:cs="Times New Roman"/>
        </w:rPr>
      </w:pPr>
      <w:r w:rsidRPr="00F15BBC">
        <w:rPr>
          <w:rFonts w:ascii="Times New Roman" w:hAnsi="Times New Roman" w:cs="Times New Roman"/>
        </w:rPr>
        <w:t>ФОРМИРОВАНИЯ И ИСПОЛЬЗОВАНИЯ РЕЗЕРВОВ</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Title"/>
        <w:jc w:val="center"/>
        <w:outlineLvl w:val="2"/>
        <w:rPr>
          <w:rFonts w:ascii="Times New Roman" w:hAnsi="Times New Roman" w:cs="Times New Roman"/>
        </w:rPr>
      </w:pPr>
      <w:r w:rsidRPr="00F15BBC">
        <w:rPr>
          <w:rFonts w:ascii="Times New Roman" w:hAnsi="Times New Roman" w:cs="Times New Roman"/>
        </w:rPr>
        <w:t>1. Общие положения</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1.1. Порядок формирования и использования резервов устанавливает правила отражения в бухгалтерском учете субъекта учета информации о состоянии и движении сумм резервов предстоящих расходов в целях равномерного включения расходов на финансовый результат субъекта учета по обязательствам, не определенным по величине и (или) времени исполнения.</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1.2. Настоящий Порядок разработан в целях корректного формирования фактической себестоимости оказанных услуг (выполненных работ), в том числе по видам финансового обеспечения, и отражения в отчетности информации об отложенных обязательствах субъекта учета.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 xml:space="preserve">1.3. Одновременно с формированием резервов предстоящих расходов </w:t>
      </w:r>
      <w:bookmarkStart w:id="1" w:name="_GoBack"/>
      <w:bookmarkEnd w:id="1"/>
      <w:r w:rsidRPr="00F15BBC">
        <w:rPr>
          <w:rFonts w:ascii="Times New Roman" w:hAnsi="Times New Roman" w:cs="Times New Roman"/>
        </w:rPr>
        <w:t>в учете отражается принятие субъектом учета обязательств в сумме сформированных резервов с применением счета 050299000 "Отложенные обязательства".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1.4. Величина резервов определяется соответствующим расчетом и является оценочным значением. Размер резервов не ограничен. Период, на который создается резерв, может быть ограничен только сроком исполнения обязательства, в отношении которого создан резерв.</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Title"/>
        <w:jc w:val="center"/>
        <w:outlineLvl w:val="2"/>
        <w:rPr>
          <w:rFonts w:ascii="Times New Roman" w:hAnsi="Times New Roman" w:cs="Times New Roman"/>
        </w:rPr>
      </w:pPr>
      <w:r w:rsidRPr="00F15BBC">
        <w:rPr>
          <w:rFonts w:ascii="Times New Roman" w:hAnsi="Times New Roman" w:cs="Times New Roman"/>
        </w:rPr>
        <w:t>2. Виды резервов предстоящих расходов,</w:t>
      </w:r>
    </w:p>
    <w:p w:rsidR="00F278A3" w:rsidRPr="00F15BBC" w:rsidRDefault="00F278A3" w:rsidP="00F278A3">
      <w:pPr>
        <w:pStyle w:val="ConsPlusTitle"/>
        <w:jc w:val="center"/>
        <w:rPr>
          <w:rFonts w:ascii="Times New Roman" w:hAnsi="Times New Roman" w:cs="Times New Roman"/>
        </w:rPr>
      </w:pPr>
      <w:r w:rsidRPr="00F15BBC">
        <w:rPr>
          <w:rFonts w:ascii="Times New Roman" w:hAnsi="Times New Roman" w:cs="Times New Roman"/>
        </w:rPr>
        <w:t>формируемых субъектом учета</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2.1. У субъекта учета формируются следующие виды резервов:</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на оплату отпусков за фактически отработанное время или компенсаций за неиспользованный отпуск, включая платежи на обязательное социальное страхование;</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расходных обязательств, оспариваемых в судебном порядке, а также возникающих из претензионных требований и исков по результатам фактов хозяйственной жизни, в том числе в рамках досудебного (внесудебного) рассмотрения претензий;</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по обязательствам субъекта учета, возникающим по фактам хозяйственной деятельности (сделкам, операциям), по начислению которых существует на отчетную дату неопределенность по их размеру из-за отсутствия первичных учетных документов;</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расходных обязательств, возникающих при реструктуризации деятельности субъекта учета, реорганизации или ликвидации субъекта учета;</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резерв на гарантийный ремонт;</w:t>
      </w:r>
    </w:p>
    <w:p w:rsidR="002D6DAA" w:rsidRPr="00F15BBC" w:rsidRDefault="002D6DAA" w:rsidP="002D6DAA">
      <w:pPr>
        <w:spacing w:after="0" w:line="240" w:lineRule="auto"/>
        <w:ind w:firstLine="709"/>
        <w:jc w:val="both"/>
        <w:rPr>
          <w:rFonts w:ascii="Times New Roman" w:hAnsi="Times New Roman" w:cs="Times New Roman"/>
        </w:rPr>
      </w:pPr>
      <w:r w:rsidRPr="00F15BBC">
        <w:rPr>
          <w:rFonts w:ascii="Times New Roman" w:hAnsi="Times New Roman" w:cs="Times New Roman"/>
        </w:rPr>
        <w:t>- расходы на доплаты к пенсии за выслугу лет лицам, замещавшим должности муниципальной службы;</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по обязательствам субъекта учета, возникающим по фактам хозяйственной жизни (поставка товаров, (оказание) работ, услуг), по которым дата факта хозяйственной жизни не совпадает с датой подписания документа о приемке на ЕИС.</w:t>
      </w:r>
    </w:p>
    <w:p w:rsidR="00F278A3" w:rsidRPr="00F15BBC" w:rsidRDefault="00F278A3" w:rsidP="000C6B34">
      <w:pPr>
        <w:pStyle w:val="ConsPlusNormal"/>
        <w:jc w:val="both"/>
        <w:rPr>
          <w:rFonts w:ascii="Times New Roman" w:hAnsi="Times New Roman" w:cs="Times New Roman"/>
        </w:rPr>
      </w:pPr>
    </w:p>
    <w:p w:rsidR="00F278A3" w:rsidRPr="00F15BBC" w:rsidRDefault="00F278A3" w:rsidP="00F278A3">
      <w:pPr>
        <w:pStyle w:val="ConsPlusTitle"/>
        <w:jc w:val="center"/>
        <w:outlineLvl w:val="2"/>
        <w:rPr>
          <w:rFonts w:ascii="Times New Roman" w:hAnsi="Times New Roman" w:cs="Times New Roman"/>
        </w:rPr>
      </w:pPr>
      <w:r w:rsidRPr="00F15BBC">
        <w:rPr>
          <w:rFonts w:ascii="Times New Roman" w:hAnsi="Times New Roman" w:cs="Times New Roman"/>
        </w:rPr>
        <w:t>3. Порядок определения сумм резервов предстоящих расходов</w:t>
      </w:r>
    </w:p>
    <w:p w:rsidR="00F278A3" w:rsidRPr="00F15BBC" w:rsidRDefault="00F278A3" w:rsidP="00F278A3">
      <w:pPr>
        <w:pStyle w:val="ConsPlusTitle"/>
        <w:jc w:val="center"/>
        <w:rPr>
          <w:rFonts w:ascii="Times New Roman" w:hAnsi="Times New Roman" w:cs="Times New Roman"/>
        </w:rPr>
      </w:pPr>
      <w:r w:rsidRPr="00F15BBC">
        <w:rPr>
          <w:rFonts w:ascii="Times New Roman" w:hAnsi="Times New Roman" w:cs="Times New Roman"/>
        </w:rPr>
        <w:t>и их отражения в бухгалтерском учете</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3.1. Резерв предстоящих расходов на выплаты персоналу.</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3.1.1. Резерв на оплату отпусков за фактически отработанное время или компенсаций за неиспользованный отпуск, в том числе при увольнении работника субъекта учета, включая платежи на обязательное социальное страхование, начисляется (корректируется) на основании сведений кадровой службы о количестве дней отпуска, право на представление которого имеют работники за фактически отработанное время.</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 xml:space="preserve">Резерв в части средств на предстоящую оплату отпусков за фактически отработанное время </w:t>
      </w:r>
      <w:r w:rsidRPr="00F15BBC">
        <w:rPr>
          <w:rFonts w:ascii="Times New Roman" w:hAnsi="Times New Roman" w:cs="Times New Roman"/>
        </w:rPr>
        <w:lastRenderedPageBreak/>
        <w:t>или компенсаций за неиспользованный отпуск определяется в следующем порядке:</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Резерв отпусков = К x ЗП</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где: К - количество не использованных сотрудником дней отпуска за период с начала работы на дату расчета (на последний день текущего года);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ЗП - среднедневной заработок сотрудника, исчисленный по правилам расчета среднего заработка для оплаты отпусков на дату расчета резерва.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3.1.2. Резерв в части платежей на обязательное социальное страхование рассчитывается исходя из суммы, резервируемой на непосредственную оплату отпусков, а также действующих тарифов страховых взносов.</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Сумма страховых взносов при формировании резерва рассчитывается:</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резерв страховых взносов = S x С</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где: S - сумма рассчитанного резерва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С - ставка страховых взносов.</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3.1.3. Начисление (корректировка) резерва на предстоящую оплату отпусков производится ежегодно.</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В случае если на отчетную дату величина остатка резерва на оплату отпускных, включая платежи на обязательное социальное страхование, по данным бухгалтерского учета меньше, чем величина резерва, определенная по приведенной формуле, то резерв увеличивается на разницу между этими величинами. Доначисленная сумма резерва относится на расходы.</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Если на отчетную дату величина остатка резерва на оплату отпускных работникам по данным бухгалтерского учета больше, чем величина резерва, определенная по приведенной формуле, то резерв уменьшается на разницу между этими величинами.</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3.2. Резерв на оплату расходных обязательств, оспариваемых в судебном порядке (по судебным разбирательствам) и по претензионным требованиям и искам.</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3.2.1. Резерв создается при условии, если по состоянию на отчетную дату субъект учета является стороной судебного разбирательства и (или) субъекту учета предъявлены иски (претензии). Если предполагается, что с высокой степенью вероятности судебное решение будет принято не в пользу субъекта учета, на основании экспертного заключения юридической службы, утвержденного руководителем субъекта учета или уполномоченным им лицом, резерв создается в размере 100% от суммы предъявленного иска.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Аналитический учет ведется по каждому судебному разбирательству.</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3.2.2. В последующие отчетные периоды в зависимости от хода судебного разбирательства на основании представления (заключения) юридической службы или решения профильной комиссии сумма резерва может корректироваться как в сторону уменьшения, так и в сторону увеличения.</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3.2.3. Начисление (увеличение) суммы резерва относится на финансовый результат (расходы субъекта учета). Если сумма резерва подлежит уменьшению, корректировка осуществляется по Дебету 040160000 "Резервы предстоящих расходов" и Кредиту 040120000 "Расходы текущего финансового года".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3.3. Резерв по обязательствам субъекта учета на конец отчетного года, возникающим по фактам хозяйственной деятельности (сделкам, операциям), по начислению которых существует неопределенность по их размеру из-за отсутствия первичных учетных документов.</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lastRenderedPageBreak/>
        <w:t>3.3.1. Резерв создается для учета фактически осуществленных расходов, по которым на конец отчетного года отсутствует документальное подтверждение (первичные документы). Резерв признается в оценочной величине, определенной исходя</w:t>
      </w:r>
      <w:r w:rsidR="0054331F" w:rsidRPr="00F15BBC">
        <w:rPr>
          <w:rFonts w:ascii="Times New Roman" w:hAnsi="Times New Roman" w:cs="Times New Roman"/>
        </w:rPr>
        <w:t xml:space="preserve"> из</w:t>
      </w:r>
      <w:r w:rsidRPr="00F15BBC">
        <w:rPr>
          <w:rFonts w:ascii="Times New Roman" w:hAnsi="Times New Roman" w:cs="Times New Roman"/>
        </w:rPr>
        <w:t xml:space="preserve"> условий договора (контракта) и объема принятых работ (потребленных услуг), на основании </w:t>
      </w:r>
      <w:hyperlink w:anchor="P42503">
        <w:r w:rsidRPr="00F15BBC">
          <w:rPr>
            <w:rFonts w:ascii="Times New Roman" w:hAnsi="Times New Roman" w:cs="Times New Roman"/>
          </w:rPr>
          <w:t>информации</w:t>
        </w:r>
      </w:hyperlink>
      <w:r w:rsidRPr="00F15BBC">
        <w:rPr>
          <w:rFonts w:ascii="Times New Roman" w:hAnsi="Times New Roman" w:cs="Times New Roman"/>
        </w:rPr>
        <w:t xml:space="preserve"> субъекта учета о создании резерва (приложение к настоящему Порядку).</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 xml:space="preserve">Аналитический учет ведется по кодам </w:t>
      </w:r>
      <w:hyperlink r:id="rId4">
        <w:r w:rsidRPr="00F15BBC">
          <w:rPr>
            <w:rFonts w:ascii="Times New Roman" w:hAnsi="Times New Roman" w:cs="Times New Roman"/>
          </w:rPr>
          <w:t>КОСГУ</w:t>
        </w:r>
      </w:hyperlink>
      <w:r w:rsidRPr="00F15BBC">
        <w:rPr>
          <w:rFonts w:ascii="Times New Roman" w:hAnsi="Times New Roman" w:cs="Times New Roman"/>
        </w:rPr>
        <w:t xml:space="preserve"> в разрезе договоров (контрактов).</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3.4. Резерв расходных обязательств, возникающих при реструктуризации деятельности, реорганизации или ликвидации субъекта учета.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3.4.1. Резерв формируется только на основании принятого в установленном порядке решения о реструктуризации деятельности, реорганизации или ликвидации субъекта учета. Резерв формируется под возникающие в связи с реструктуризацией деятельности, реорганизацией (ликвидацией) расходы и обязательства, прежде всего на выплаты работникам при увольнении, на основании информация, предоставленной субъектом учета.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3.5. Резерв по гарантийному ремонту признается в момент передачи работ, услуг, товаров заказчику (покупателю) на условиях осуществления согласно договору гарантийного ремонта и (или) текущего обслуживания, осуществляемых субъектом учета по требованию заказчиков (покупателей) (на основании предъявленных заказчиком (покупателем) претензий.</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Резерв создается один - общий для всех видов товаров, работ, услуг, по которым имеются гарантийные обязательства.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Резерв по гарантийному ремонту определяется как доля фактических расходов на осуществление гарантийного ремонта в объеме выручки от реализации за 3 года предшествующих плановому году.</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Резерв по гарантийному ремонту целесообразно создавать, чтобы "гарантийные" расходы не оказывали существенного влияния на себестоимость продукции и распределялись равномерно в течение года.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3.6. Резерв создается по обязательствам субъекта учета, возникающим при поступлении товаров, работ, услуг если приемка осуществляется на дату, отличную от даты поступления товара, оказания услуг и выполнения работ по договорам (контрактам), заключенным с использованием ЕИС.</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3.6.1. Датой признания резерва в бухгалтерском учете является дата фактического поступления товара, оказания услуг и выполнения работ.</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 xml:space="preserve">3.6.2. Резерв, создаваемый по обязательствам субъекта учета, возникающим при поступлении товаров, работ, услуг создается в полной сумме, на основании первичных документов или </w:t>
      </w:r>
      <w:proofErr w:type="gramStart"/>
      <w:r w:rsidRPr="00F15BBC">
        <w:rPr>
          <w:rFonts w:ascii="Times New Roman" w:hAnsi="Times New Roman" w:cs="Times New Roman"/>
        </w:rPr>
        <w:t>графика</w:t>
      </w:r>
      <w:proofErr w:type="gramEnd"/>
      <w:r w:rsidRPr="00F15BBC">
        <w:rPr>
          <w:rFonts w:ascii="Times New Roman" w:hAnsi="Times New Roman" w:cs="Times New Roman"/>
        </w:rPr>
        <w:t xml:space="preserve"> определенного договором (контрактом).</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3.6.3. Резерв по обязательствам субъекта учета, возникающим при поступлении товаров, работ, услуг формируется на отчетную дату (квартальную дату).</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3.6.4. Сотрудник субъекта учета, ответственный за осуществление расходов обязан предоставлять информацию о наличии факта хозяйственной жизни (поступления товара, оказания услуг и выполнения работ), по которым дата факта хозяйственной жизни не совпадает с датой подписания первичного документа, фиксирующего данный факт хозяйственной жизни.</w:t>
      </w:r>
    </w:p>
    <w:p w:rsidR="002D6DAA" w:rsidRPr="00F15BBC" w:rsidRDefault="002D6DAA" w:rsidP="002D6DAA">
      <w:pPr>
        <w:spacing w:after="0" w:line="240" w:lineRule="auto"/>
        <w:ind w:firstLine="709"/>
        <w:jc w:val="both"/>
        <w:rPr>
          <w:rFonts w:ascii="Times New Roman" w:hAnsi="Times New Roman" w:cs="Times New Roman"/>
        </w:rPr>
      </w:pPr>
      <w:r w:rsidRPr="00F15BBC">
        <w:rPr>
          <w:rFonts w:ascii="Times New Roman" w:hAnsi="Times New Roman" w:cs="Times New Roman"/>
        </w:rPr>
        <w:t>3.7 Резерв на доплаты к пенсии за выслугу лет лицам, замещавшим должности муниципальной службы.</w:t>
      </w:r>
    </w:p>
    <w:p w:rsidR="002D6DAA" w:rsidRPr="00F15BBC" w:rsidRDefault="002D6DAA" w:rsidP="002D6DAA">
      <w:pPr>
        <w:spacing w:after="0" w:line="240" w:lineRule="auto"/>
        <w:ind w:firstLine="709"/>
        <w:jc w:val="both"/>
        <w:rPr>
          <w:rFonts w:ascii="Times New Roman" w:hAnsi="Times New Roman" w:cs="Times New Roman"/>
        </w:rPr>
      </w:pPr>
      <w:r w:rsidRPr="00F15BBC">
        <w:rPr>
          <w:rFonts w:ascii="Times New Roman" w:hAnsi="Times New Roman" w:cs="Times New Roman"/>
        </w:rPr>
        <w:t xml:space="preserve">3.7.1. Начисление (корректировка) резерва на доплаты к пенсии за выслугу лет лицам, замещавшим должности муниципальной службы пенсионные и </w:t>
      </w:r>
      <w:proofErr w:type="gramStart"/>
      <w:r w:rsidRPr="00F15BBC">
        <w:rPr>
          <w:rFonts w:ascii="Times New Roman" w:hAnsi="Times New Roman" w:cs="Times New Roman"/>
        </w:rPr>
        <w:t>иные аналогичные выплаты</w:t>
      </w:r>
      <w:proofErr w:type="gramEnd"/>
      <w:r w:rsidRPr="00F15BBC">
        <w:rPr>
          <w:rFonts w:ascii="Times New Roman" w:hAnsi="Times New Roman" w:cs="Times New Roman"/>
        </w:rPr>
        <w:t xml:space="preserve"> производится </w:t>
      </w:r>
      <w:r w:rsidRPr="00F15BBC">
        <w:rPr>
          <w:rStyle w:val="s10"/>
          <w:rFonts w:ascii="Times New Roman" w:hAnsi="Times New Roman" w:cs="Times New Roman"/>
          <w:bCs/>
        </w:rPr>
        <w:t>ежегодно на отчетную дату.</w:t>
      </w:r>
    </w:p>
    <w:p w:rsidR="002D6DAA" w:rsidRPr="00F15BBC" w:rsidRDefault="002D6DAA" w:rsidP="00F278A3">
      <w:pPr>
        <w:pStyle w:val="ConsPlusNormal"/>
        <w:spacing w:before="220"/>
        <w:ind w:firstLine="540"/>
        <w:jc w:val="both"/>
        <w:rPr>
          <w:rFonts w:ascii="Times New Roman" w:hAnsi="Times New Roman" w:cs="Times New Roman"/>
        </w:rPr>
      </w:pP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Title"/>
        <w:jc w:val="center"/>
        <w:outlineLvl w:val="2"/>
        <w:rPr>
          <w:rFonts w:ascii="Times New Roman" w:hAnsi="Times New Roman" w:cs="Times New Roman"/>
        </w:rPr>
      </w:pPr>
      <w:r w:rsidRPr="00F15BBC">
        <w:rPr>
          <w:rFonts w:ascii="Times New Roman" w:hAnsi="Times New Roman" w:cs="Times New Roman"/>
        </w:rPr>
        <w:t>4. Учет и использование сумм резервов</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4.1. Начисление (корректировка) резерва осуществляется в случае:</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полного использования начисленного резерва;</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принятия решения о реорганизации, ликвидации субъекта учета;</w:t>
      </w:r>
    </w:p>
    <w:p w:rsidR="00F278A3" w:rsidRPr="00F15BBC" w:rsidRDefault="00F278A3" w:rsidP="000C6B34">
      <w:pPr>
        <w:pStyle w:val="ConsPlusNormal"/>
        <w:ind w:firstLine="540"/>
        <w:jc w:val="both"/>
        <w:rPr>
          <w:rFonts w:ascii="Times New Roman" w:hAnsi="Times New Roman" w:cs="Times New Roman"/>
        </w:rPr>
      </w:pPr>
      <w:r w:rsidRPr="00F15BBC">
        <w:rPr>
          <w:rFonts w:ascii="Times New Roman" w:hAnsi="Times New Roman" w:cs="Times New Roman"/>
        </w:rPr>
        <w:t>- по результатам инвентаризации.</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Корректировка резерва осуществляется путем сопоставления сумм резерва, начисленного на установленную дату, с остатком резерва на эту дату и соответствующего увеличения (уменьшения) резерва.</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4.2. Резервы используются только на покрытие тех расходов, в отношении которых они были созданы.</w:t>
      </w:r>
    </w:p>
    <w:p w:rsidR="00F278A3" w:rsidRPr="00F15BBC" w:rsidRDefault="00F278A3" w:rsidP="00F278A3">
      <w:pPr>
        <w:pStyle w:val="ConsPlusNormal"/>
        <w:spacing w:before="220"/>
        <w:ind w:firstLine="540"/>
        <w:jc w:val="both"/>
        <w:rPr>
          <w:rFonts w:ascii="Times New Roman" w:hAnsi="Times New Roman" w:cs="Times New Roman"/>
        </w:rPr>
      </w:pPr>
      <w:r w:rsidRPr="00F15BBC">
        <w:rPr>
          <w:rFonts w:ascii="Times New Roman" w:hAnsi="Times New Roman" w:cs="Times New Roman"/>
        </w:rPr>
        <w:t>4.3. Признание в учете расходов, в отношении которых сформирован резерв, осуществляется за счет суммы созданного резерва.</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0C6B34" w:rsidRPr="00F15BBC" w:rsidRDefault="000C6B34" w:rsidP="00F278A3">
      <w:pPr>
        <w:pStyle w:val="ConsPlusNormal"/>
        <w:jc w:val="both"/>
        <w:rPr>
          <w:rFonts w:ascii="Times New Roman" w:hAnsi="Times New Roman" w:cs="Times New Roman"/>
        </w:rPr>
      </w:pP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jc w:val="right"/>
        <w:outlineLvl w:val="2"/>
        <w:rPr>
          <w:rFonts w:ascii="Times New Roman" w:hAnsi="Times New Roman" w:cs="Times New Roman"/>
        </w:rPr>
      </w:pPr>
      <w:r w:rsidRPr="00F15BBC">
        <w:rPr>
          <w:rFonts w:ascii="Times New Roman" w:hAnsi="Times New Roman" w:cs="Times New Roman"/>
        </w:rPr>
        <w:t>Приложение</w:t>
      </w:r>
    </w:p>
    <w:p w:rsidR="00F278A3" w:rsidRPr="00F15BBC" w:rsidRDefault="00F278A3" w:rsidP="00F278A3">
      <w:pPr>
        <w:pStyle w:val="ConsPlusNormal"/>
        <w:jc w:val="right"/>
        <w:rPr>
          <w:rFonts w:ascii="Times New Roman" w:hAnsi="Times New Roman" w:cs="Times New Roman"/>
        </w:rPr>
      </w:pPr>
      <w:r w:rsidRPr="00F15BBC">
        <w:rPr>
          <w:rFonts w:ascii="Times New Roman" w:hAnsi="Times New Roman" w:cs="Times New Roman"/>
        </w:rPr>
        <w:t>к Порядку</w:t>
      </w:r>
    </w:p>
    <w:p w:rsidR="00F278A3" w:rsidRPr="00F15BBC" w:rsidRDefault="00F278A3" w:rsidP="00F278A3">
      <w:pPr>
        <w:pStyle w:val="ConsPlusNormal"/>
        <w:jc w:val="both"/>
        <w:rPr>
          <w:rFonts w:ascii="Times New Roman" w:hAnsi="Times New Roman" w:cs="Times New Roman"/>
        </w:rPr>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F15BBC" w:rsidRPr="00F15BBC" w:rsidTr="00681F65">
        <w:tc>
          <w:tcPr>
            <w:tcW w:w="9071" w:type="dxa"/>
            <w:tcBorders>
              <w:top w:val="nil"/>
              <w:left w:val="nil"/>
              <w:bottom w:val="single" w:sz="4" w:space="0" w:color="auto"/>
              <w:right w:val="nil"/>
            </w:tcBorders>
          </w:tcPr>
          <w:p w:rsidR="00F278A3" w:rsidRPr="00F15BBC" w:rsidRDefault="00F278A3" w:rsidP="00681F65">
            <w:pPr>
              <w:pStyle w:val="ConsPlusNormal"/>
              <w:rPr>
                <w:rFonts w:ascii="Times New Roman" w:hAnsi="Times New Roman" w:cs="Times New Roman"/>
              </w:rPr>
            </w:pPr>
          </w:p>
        </w:tc>
      </w:tr>
      <w:tr w:rsidR="00F15BBC" w:rsidRPr="00F15BBC" w:rsidTr="00681F65">
        <w:tblPrEx>
          <w:tblBorders>
            <w:insideH w:val="none" w:sz="0" w:space="0" w:color="auto"/>
          </w:tblBorders>
        </w:tblPrEx>
        <w:tc>
          <w:tcPr>
            <w:tcW w:w="9071" w:type="dxa"/>
            <w:tcBorders>
              <w:top w:val="single" w:sz="4" w:space="0" w:color="auto"/>
              <w:left w:val="nil"/>
              <w:bottom w:val="nil"/>
              <w:right w:val="nil"/>
            </w:tcBorders>
          </w:tcPr>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(наименование учреждения)</w:t>
            </w:r>
          </w:p>
        </w:tc>
      </w:tr>
      <w:tr w:rsidR="00F15BBC" w:rsidRPr="00F15BBC" w:rsidTr="00681F65">
        <w:tblPrEx>
          <w:tblBorders>
            <w:insideH w:val="none" w:sz="0" w:space="0" w:color="auto"/>
          </w:tblBorders>
        </w:tblPrEx>
        <w:tc>
          <w:tcPr>
            <w:tcW w:w="9071"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r>
      <w:tr w:rsidR="00F278A3" w:rsidRPr="00F15BBC" w:rsidTr="00681F65">
        <w:tblPrEx>
          <w:tblBorders>
            <w:insideH w:val="none" w:sz="0" w:space="0" w:color="auto"/>
          </w:tblBorders>
        </w:tblPrEx>
        <w:tc>
          <w:tcPr>
            <w:tcW w:w="9071" w:type="dxa"/>
            <w:tcBorders>
              <w:top w:val="nil"/>
              <w:left w:val="nil"/>
              <w:bottom w:val="nil"/>
              <w:right w:val="nil"/>
            </w:tcBorders>
          </w:tcPr>
          <w:p w:rsidR="00F278A3" w:rsidRPr="00F15BBC" w:rsidRDefault="00F278A3" w:rsidP="00681F65">
            <w:pPr>
              <w:pStyle w:val="ConsPlusNormal"/>
              <w:jc w:val="center"/>
              <w:rPr>
                <w:rFonts w:ascii="Times New Roman" w:hAnsi="Times New Roman" w:cs="Times New Roman"/>
              </w:rPr>
            </w:pPr>
            <w:bookmarkStart w:id="2" w:name="P42503"/>
            <w:bookmarkEnd w:id="2"/>
            <w:r w:rsidRPr="00F15BBC">
              <w:rPr>
                <w:rFonts w:ascii="Times New Roman" w:hAnsi="Times New Roman" w:cs="Times New Roman"/>
              </w:rPr>
              <w:t>ИНФОРМАЦИЯ</w:t>
            </w:r>
          </w:p>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для создания резерва по обязательствам, по которым</w:t>
            </w:r>
          </w:p>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существует неопределенность по сумме на отчетную дату</w:t>
            </w:r>
          </w:p>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из-за отсутствия первичных учетных документов (актов</w:t>
            </w:r>
          </w:p>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об оказании услуг (выполнении работ) &lt;*&gt;,</w:t>
            </w:r>
          </w:p>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по состоянию на ____________ 20__ г.</w:t>
            </w:r>
          </w:p>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месяца, следующего за отчетным кварталом</w:t>
            </w:r>
          </w:p>
        </w:tc>
      </w:tr>
    </w:tbl>
    <w:p w:rsidR="00F278A3" w:rsidRPr="00F15BBC" w:rsidRDefault="00F278A3" w:rsidP="00F278A3">
      <w:pPr>
        <w:pStyle w:val="ConsPlusNormal"/>
        <w:jc w:val="both"/>
        <w:rPr>
          <w:rFonts w:ascii="Times New Roman" w:hAnsi="Times New Roman" w:cs="Times New Roman"/>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413"/>
        <w:gridCol w:w="992"/>
        <w:gridCol w:w="1276"/>
        <w:gridCol w:w="850"/>
        <w:gridCol w:w="993"/>
        <w:gridCol w:w="1134"/>
        <w:gridCol w:w="1275"/>
        <w:gridCol w:w="1134"/>
      </w:tblGrid>
      <w:tr w:rsidR="00F15BBC" w:rsidRPr="00F15BBC" w:rsidTr="000C6B34">
        <w:tc>
          <w:tcPr>
            <w:tcW w:w="567" w:type="dxa"/>
            <w:vMerge w:val="restart"/>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N</w:t>
            </w:r>
          </w:p>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п/п</w:t>
            </w:r>
          </w:p>
        </w:tc>
        <w:tc>
          <w:tcPr>
            <w:tcW w:w="1413" w:type="dxa"/>
            <w:vMerge w:val="restart"/>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Наименование организации</w:t>
            </w:r>
          </w:p>
        </w:tc>
        <w:tc>
          <w:tcPr>
            <w:tcW w:w="992" w:type="dxa"/>
            <w:vMerge w:val="restart"/>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Номер и дата договора</w:t>
            </w:r>
          </w:p>
        </w:tc>
        <w:tc>
          <w:tcPr>
            <w:tcW w:w="1276" w:type="dxa"/>
            <w:vMerge w:val="restart"/>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Срок выполнения работ (услуг), поставки товара в 20__ г. по договору</w:t>
            </w:r>
          </w:p>
        </w:tc>
        <w:tc>
          <w:tcPr>
            <w:tcW w:w="4252" w:type="dxa"/>
            <w:gridSpan w:val="4"/>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Сумма резерва по договору на 20__ г., по которому не получены первичные документы, в том числе за счет средств</w:t>
            </w:r>
          </w:p>
        </w:tc>
        <w:tc>
          <w:tcPr>
            <w:tcW w:w="1134" w:type="dxa"/>
            <w:vMerge w:val="restart"/>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ВСЕГО сумма резерва по договору</w:t>
            </w:r>
          </w:p>
        </w:tc>
      </w:tr>
      <w:tr w:rsidR="00F15BBC" w:rsidRPr="00F15BBC" w:rsidTr="000C6B34">
        <w:tc>
          <w:tcPr>
            <w:tcW w:w="567" w:type="dxa"/>
            <w:vMerge/>
          </w:tcPr>
          <w:p w:rsidR="00F278A3" w:rsidRPr="00F15BBC" w:rsidRDefault="00F278A3" w:rsidP="000C6B34">
            <w:pPr>
              <w:pStyle w:val="ConsPlusNormal"/>
              <w:jc w:val="center"/>
              <w:rPr>
                <w:rFonts w:ascii="Times New Roman" w:hAnsi="Times New Roman" w:cs="Times New Roman"/>
                <w:sz w:val="20"/>
                <w:szCs w:val="20"/>
              </w:rPr>
            </w:pPr>
          </w:p>
        </w:tc>
        <w:tc>
          <w:tcPr>
            <w:tcW w:w="1413" w:type="dxa"/>
            <w:vMerge/>
          </w:tcPr>
          <w:p w:rsidR="00F278A3" w:rsidRPr="00F15BBC" w:rsidRDefault="00F278A3" w:rsidP="000C6B34">
            <w:pPr>
              <w:pStyle w:val="ConsPlusNormal"/>
              <w:jc w:val="center"/>
              <w:rPr>
                <w:rFonts w:ascii="Times New Roman" w:hAnsi="Times New Roman" w:cs="Times New Roman"/>
                <w:sz w:val="20"/>
                <w:szCs w:val="20"/>
              </w:rPr>
            </w:pPr>
          </w:p>
        </w:tc>
        <w:tc>
          <w:tcPr>
            <w:tcW w:w="992" w:type="dxa"/>
            <w:vMerge/>
          </w:tcPr>
          <w:p w:rsidR="00F278A3" w:rsidRPr="00F15BBC" w:rsidRDefault="00F278A3" w:rsidP="000C6B34">
            <w:pPr>
              <w:pStyle w:val="ConsPlusNormal"/>
              <w:jc w:val="center"/>
              <w:rPr>
                <w:rFonts w:ascii="Times New Roman" w:hAnsi="Times New Roman" w:cs="Times New Roman"/>
                <w:sz w:val="20"/>
                <w:szCs w:val="20"/>
              </w:rPr>
            </w:pPr>
          </w:p>
        </w:tc>
        <w:tc>
          <w:tcPr>
            <w:tcW w:w="1276" w:type="dxa"/>
            <w:vMerge/>
          </w:tcPr>
          <w:p w:rsidR="00F278A3" w:rsidRPr="00F15BBC" w:rsidRDefault="00F278A3" w:rsidP="000C6B34">
            <w:pPr>
              <w:pStyle w:val="ConsPlusNormal"/>
              <w:jc w:val="center"/>
              <w:rPr>
                <w:rFonts w:ascii="Times New Roman" w:hAnsi="Times New Roman" w:cs="Times New Roman"/>
                <w:sz w:val="20"/>
                <w:szCs w:val="20"/>
              </w:rPr>
            </w:pPr>
          </w:p>
        </w:tc>
        <w:tc>
          <w:tcPr>
            <w:tcW w:w="850" w:type="dxa"/>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Бюджет</w:t>
            </w:r>
          </w:p>
        </w:tc>
        <w:tc>
          <w:tcPr>
            <w:tcW w:w="993" w:type="dxa"/>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Субсидия на иные цели</w:t>
            </w:r>
          </w:p>
        </w:tc>
        <w:tc>
          <w:tcPr>
            <w:tcW w:w="1134" w:type="dxa"/>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 xml:space="preserve">Субсидия на </w:t>
            </w:r>
            <w:proofErr w:type="spellStart"/>
            <w:r w:rsidRPr="00F15BBC">
              <w:rPr>
                <w:rFonts w:ascii="Times New Roman" w:hAnsi="Times New Roman" w:cs="Times New Roman"/>
                <w:sz w:val="20"/>
                <w:szCs w:val="20"/>
              </w:rPr>
              <w:t>госзадание</w:t>
            </w:r>
            <w:proofErr w:type="spellEnd"/>
          </w:p>
        </w:tc>
        <w:tc>
          <w:tcPr>
            <w:tcW w:w="1275" w:type="dxa"/>
          </w:tcPr>
          <w:p w:rsidR="00F278A3" w:rsidRPr="00F15BBC" w:rsidRDefault="00F278A3" w:rsidP="000C6B34">
            <w:pPr>
              <w:pStyle w:val="ConsPlusNormal"/>
              <w:jc w:val="center"/>
              <w:rPr>
                <w:rFonts w:ascii="Times New Roman" w:hAnsi="Times New Roman" w:cs="Times New Roman"/>
                <w:sz w:val="20"/>
                <w:szCs w:val="20"/>
              </w:rPr>
            </w:pPr>
            <w:r w:rsidRPr="00F15BBC">
              <w:rPr>
                <w:rFonts w:ascii="Times New Roman" w:hAnsi="Times New Roman" w:cs="Times New Roman"/>
                <w:sz w:val="20"/>
                <w:szCs w:val="20"/>
              </w:rPr>
              <w:t>Приносящая доход деятельность</w:t>
            </w:r>
          </w:p>
        </w:tc>
        <w:tc>
          <w:tcPr>
            <w:tcW w:w="1134" w:type="dxa"/>
            <w:vMerge/>
          </w:tcPr>
          <w:p w:rsidR="00F278A3" w:rsidRPr="00F15BBC" w:rsidRDefault="00F278A3" w:rsidP="000C6B34">
            <w:pPr>
              <w:pStyle w:val="ConsPlusNormal"/>
              <w:jc w:val="center"/>
              <w:rPr>
                <w:rFonts w:ascii="Times New Roman" w:hAnsi="Times New Roman" w:cs="Times New Roman"/>
                <w:sz w:val="20"/>
                <w:szCs w:val="20"/>
              </w:rPr>
            </w:pPr>
          </w:p>
        </w:tc>
      </w:tr>
      <w:tr w:rsidR="00F15BBC"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rPr>
                <w:rFonts w:ascii="Times New Roman" w:hAnsi="Times New Roman" w:cs="Times New Roman"/>
              </w:rPr>
            </w:pP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r w:rsidR="00F15BBC"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rPr>
                <w:rFonts w:ascii="Times New Roman" w:hAnsi="Times New Roman" w:cs="Times New Roman"/>
              </w:rPr>
            </w:pP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r w:rsidR="00F15BBC"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rPr>
                <w:rFonts w:ascii="Times New Roman" w:hAnsi="Times New Roman" w:cs="Times New Roman"/>
              </w:rPr>
            </w:pP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r w:rsidR="00F15BBC"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rPr>
                <w:rFonts w:ascii="Times New Roman" w:hAnsi="Times New Roman" w:cs="Times New Roman"/>
              </w:rPr>
            </w:pP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r w:rsidR="00F15BBC"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rPr>
                <w:rFonts w:ascii="Times New Roman" w:hAnsi="Times New Roman" w:cs="Times New Roman"/>
              </w:rPr>
            </w:pP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r w:rsidR="00F15BBC"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rPr>
                <w:rFonts w:ascii="Times New Roman" w:hAnsi="Times New Roman" w:cs="Times New Roman"/>
              </w:rPr>
            </w:pP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r w:rsidR="00F278A3" w:rsidRPr="00F15BBC" w:rsidTr="000C6B34">
        <w:tc>
          <w:tcPr>
            <w:tcW w:w="567" w:type="dxa"/>
          </w:tcPr>
          <w:p w:rsidR="00F278A3" w:rsidRPr="00F15BBC" w:rsidRDefault="00F278A3" w:rsidP="00681F65">
            <w:pPr>
              <w:pStyle w:val="ConsPlusNormal"/>
              <w:rPr>
                <w:rFonts w:ascii="Times New Roman" w:hAnsi="Times New Roman" w:cs="Times New Roman"/>
              </w:rPr>
            </w:pPr>
          </w:p>
        </w:tc>
        <w:tc>
          <w:tcPr>
            <w:tcW w:w="1413" w:type="dxa"/>
          </w:tcPr>
          <w:p w:rsidR="00F278A3" w:rsidRPr="00F15BBC" w:rsidRDefault="00F278A3" w:rsidP="00681F65">
            <w:pPr>
              <w:pStyle w:val="ConsPlusNormal"/>
              <w:rPr>
                <w:rFonts w:ascii="Times New Roman" w:hAnsi="Times New Roman" w:cs="Times New Roman"/>
              </w:rPr>
            </w:pPr>
          </w:p>
        </w:tc>
        <w:tc>
          <w:tcPr>
            <w:tcW w:w="992" w:type="dxa"/>
          </w:tcPr>
          <w:p w:rsidR="00F278A3" w:rsidRPr="00F15BBC" w:rsidRDefault="00F278A3" w:rsidP="00681F65">
            <w:pPr>
              <w:pStyle w:val="ConsPlusNormal"/>
              <w:rPr>
                <w:rFonts w:ascii="Times New Roman" w:hAnsi="Times New Roman" w:cs="Times New Roman"/>
              </w:rPr>
            </w:pPr>
          </w:p>
        </w:tc>
        <w:tc>
          <w:tcPr>
            <w:tcW w:w="1276" w:type="dxa"/>
          </w:tcPr>
          <w:p w:rsidR="00F278A3" w:rsidRPr="00F15BBC" w:rsidRDefault="00F278A3" w:rsidP="00681F65">
            <w:pPr>
              <w:pStyle w:val="ConsPlusNormal"/>
              <w:jc w:val="both"/>
              <w:rPr>
                <w:rFonts w:ascii="Times New Roman" w:hAnsi="Times New Roman" w:cs="Times New Roman"/>
              </w:rPr>
            </w:pPr>
            <w:r w:rsidRPr="00F15BBC">
              <w:rPr>
                <w:rFonts w:ascii="Times New Roman" w:hAnsi="Times New Roman" w:cs="Times New Roman"/>
              </w:rPr>
              <w:t>ИТОГО:</w:t>
            </w:r>
          </w:p>
        </w:tc>
        <w:tc>
          <w:tcPr>
            <w:tcW w:w="850" w:type="dxa"/>
          </w:tcPr>
          <w:p w:rsidR="00F278A3" w:rsidRPr="00F15BBC" w:rsidRDefault="00F278A3" w:rsidP="00681F65">
            <w:pPr>
              <w:pStyle w:val="ConsPlusNormal"/>
              <w:rPr>
                <w:rFonts w:ascii="Times New Roman" w:hAnsi="Times New Roman" w:cs="Times New Roman"/>
              </w:rPr>
            </w:pPr>
          </w:p>
        </w:tc>
        <w:tc>
          <w:tcPr>
            <w:tcW w:w="993"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c>
          <w:tcPr>
            <w:tcW w:w="1275" w:type="dxa"/>
          </w:tcPr>
          <w:p w:rsidR="00F278A3" w:rsidRPr="00F15BBC" w:rsidRDefault="00F278A3" w:rsidP="00681F65">
            <w:pPr>
              <w:pStyle w:val="ConsPlusNormal"/>
              <w:rPr>
                <w:rFonts w:ascii="Times New Roman" w:hAnsi="Times New Roman" w:cs="Times New Roman"/>
              </w:rPr>
            </w:pPr>
          </w:p>
        </w:tc>
        <w:tc>
          <w:tcPr>
            <w:tcW w:w="1134" w:type="dxa"/>
          </w:tcPr>
          <w:p w:rsidR="00F278A3" w:rsidRPr="00F15BBC" w:rsidRDefault="00F278A3" w:rsidP="00681F65">
            <w:pPr>
              <w:pStyle w:val="ConsPlusNormal"/>
              <w:rPr>
                <w:rFonts w:ascii="Times New Roman" w:hAnsi="Times New Roman" w:cs="Times New Roman"/>
              </w:rPr>
            </w:pPr>
          </w:p>
        </w:tc>
      </w:tr>
    </w:tbl>
    <w:p w:rsidR="00F278A3" w:rsidRPr="00F15BBC" w:rsidRDefault="00F278A3" w:rsidP="00F278A3">
      <w:pPr>
        <w:pStyle w:val="ConsPlusNormal"/>
        <w:jc w:val="both"/>
        <w:rPr>
          <w:rFonts w:ascii="Times New Roman" w:hAnsi="Times New Roman" w:cs="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87"/>
        <w:gridCol w:w="340"/>
        <w:gridCol w:w="1106"/>
        <w:gridCol w:w="340"/>
        <w:gridCol w:w="907"/>
        <w:gridCol w:w="1361"/>
        <w:gridCol w:w="340"/>
        <w:gridCol w:w="3061"/>
      </w:tblGrid>
      <w:tr w:rsidR="00F15BBC" w:rsidRPr="00F15BBC" w:rsidTr="00681F65">
        <w:tc>
          <w:tcPr>
            <w:tcW w:w="1927" w:type="dxa"/>
            <w:gridSpan w:val="2"/>
            <w:tcBorders>
              <w:top w:val="nil"/>
              <w:left w:val="nil"/>
              <w:bottom w:val="nil"/>
              <w:right w:val="nil"/>
            </w:tcBorders>
          </w:tcPr>
          <w:p w:rsidR="00F278A3" w:rsidRPr="00F15BBC" w:rsidRDefault="00F278A3" w:rsidP="00681F65">
            <w:pPr>
              <w:pStyle w:val="ConsPlusNormal"/>
              <w:rPr>
                <w:rFonts w:ascii="Times New Roman" w:hAnsi="Times New Roman" w:cs="Times New Roman"/>
              </w:rPr>
            </w:pPr>
            <w:r w:rsidRPr="00F15BBC">
              <w:rPr>
                <w:rFonts w:ascii="Times New Roman" w:hAnsi="Times New Roman" w:cs="Times New Roman"/>
              </w:rPr>
              <w:t>Руководитель</w:t>
            </w:r>
          </w:p>
        </w:tc>
        <w:tc>
          <w:tcPr>
            <w:tcW w:w="1446" w:type="dxa"/>
            <w:gridSpan w:val="2"/>
            <w:tcBorders>
              <w:top w:val="nil"/>
              <w:left w:val="nil"/>
              <w:bottom w:val="single" w:sz="4" w:space="0" w:color="auto"/>
              <w:right w:val="nil"/>
            </w:tcBorders>
          </w:tcPr>
          <w:p w:rsidR="00F278A3" w:rsidRPr="00F15BBC" w:rsidRDefault="00F278A3" w:rsidP="00681F65">
            <w:pPr>
              <w:pStyle w:val="ConsPlusNormal"/>
              <w:rPr>
                <w:rFonts w:ascii="Times New Roman" w:hAnsi="Times New Roman" w:cs="Times New Roman"/>
              </w:rPr>
            </w:pPr>
          </w:p>
        </w:tc>
        <w:tc>
          <w:tcPr>
            <w:tcW w:w="907"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4762" w:type="dxa"/>
            <w:gridSpan w:val="3"/>
            <w:tcBorders>
              <w:top w:val="nil"/>
              <w:left w:val="nil"/>
              <w:bottom w:val="single" w:sz="4" w:space="0" w:color="auto"/>
              <w:right w:val="nil"/>
            </w:tcBorders>
          </w:tcPr>
          <w:p w:rsidR="00F278A3" w:rsidRPr="00F15BBC" w:rsidRDefault="00F278A3" w:rsidP="00681F65">
            <w:pPr>
              <w:pStyle w:val="ConsPlusNormal"/>
              <w:rPr>
                <w:rFonts w:ascii="Times New Roman" w:hAnsi="Times New Roman" w:cs="Times New Roman"/>
              </w:rPr>
            </w:pPr>
          </w:p>
        </w:tc>
      </w:tr>
      <w:tr w:rsidR="00F15BBC" w:rsidRPr="00F15BBC" w:rsidTr="00681F65">
        <w:tc>
          <w:tcPr>
            <w:tcW w:w="1927" w:type="dxa"/>
            <w:gridSpan w:val="2"/>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1446" w:type="dxa"/>
            <w:gridSpan w:val="2"/>
            <w:tcBorders>
              <w:top w:val="single" w:sz="4" w:space="0" w:color="auto"/>
              <w:left w:val="nil"/>
              <w:bottom w:val="nil"/>
              <w:right w:val="nil"/>
            </w:tcBorders>
          </w:tcPr>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подпись</w:t>
            </w:r>
          </w:p>
        </w:tc>
        <w:tc>
          <w:tcPr>
            <w:tcW w:w="907"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4762" w:type="dxa"/>
            <w:gridSpan w:val="3"/>
            <w:tcBorders>
              <w:top w:val="single" w:sz="4" w:space="0" w:color="auto"/>
              <w:left w:val="nil"/>
              <w:bottom w:val="nil"/>
              <w:right w:val="nil"/>
            </w:tcBorders>
          </w:tcPr>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расшифровка подписи</w:t>
            </w:r>
          </w:p>
        </w:tc>
      </w:tr>
      <w:tr w:rsidR="00F15BBC" w:rsidRPr="00F15BBC" w:rsidTr="00681F65">
        <w:tc>
          <w:tcPr>
            <w:tcW w:w="1587" w:type="dxa"/>
            <w:tcBorders>
              <w:top w:val="nil"/>
              <w:left w:val="nil"/>
              <w:bottom w:val="nil"/>
              <w:right w:val="nil"/>
            </w:tcBorders>
          </w:tcPr>
          <w:p w:rsidR="00F278A3" w:rsidRPr="00F15BBC" w:rsidRDefault="00F278A3" w:rsidP="00681F65">
            <w:pPr>
              <w:pStyle w:val="ConsPlusNormal"/>
              <w:jc w:val="both"/>
              <w:rPr>
                <w:rFonts w:ascii="Times New Roman" w:hAnsi="Times New Roman" w:cs="Times New Roman"/>
              </w:rPr>
            </w:pPr>
            <w:r w:rsidRPr="00F15BBC">
              <w:rPr>
                <w:rFonts w:ascii="Times New Roman" w:hAnsi="Times New Roman" w:cs="Times New Roman"/>
              </w:rPr>
              <w:t>Исполнитель</w:t>
            </w:r>
          </w:p>
        </w:tc>
        <w:tc>
          <w:tcPr>
            <w:tcW w:w="1446" w:type="dxa"/>
            <w:gridSpan w:val="2"/>
            <w:tcBorders>
              <w:top w:val="nil"/>
              <w:left w:val="nil"/>
              <w:bottom w:val="single" w:sz="4" w:space="0" w:color="auto"/>
              <w:right w:val="nil"/>
            </w:tcBorders>
          </w:tcPr>
          <w:p w:rsidR="00F278A3" w:rsidRPr="00F15BBC" w:rsidRDefault="00F278A3" w:rsidP="00681F65">
            <w:pPr>
              <w:pStyle w:val="ConsPlusNormal"/>
              <w:rPr>
                <w:rFonts w:ascii="Times New Roman" w:hAnsi="Times New Roman" w:cs="Times New Roman"/>
              </w:rPr>
            </w:pPr>
          </w:p>
        </w:tc>
        <w:tc>
          <w:tcPr>
            <w:tcW w:w="340"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2268" w:type="dxa"/>
            <w:gridSpan w:val="2"/>
            <w:tcBorders>
              <w:top w:val="nil"/>
              <w:left w:val="nil"/>
              <w:bottom w:val="single" w:sz="4" w:space="0" w:color="auto"/>
              <w:right w:val="nil"/>
            </w:tcBorders>
          </w:tcPr>
          <w:p w:rsidR="00F278A3" w:rsidRPr="00F15BBC" w:rsidRDefault="00F278A3" w:rsidP="00681F65">
            <w:pPr>
              <w:pStyle w:val="ConsPlusNormal"/>
              <w:rPr>
                <w:rFonts w:ascii="Times New Roman" w:hAnsi="Times New Roman" w:cs="Times New Roman"/>
              </w:rPr>
            </w:pPr>
          </w:p>
        </w:tc>
        <w:tc>
          <w:tcPr>
            <w:tcW w:w="340"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3061" w:type="dxa"/>
            <w:tcBorders>
              <w:top w:val="nil"/>
              <w:left w:val="nil"/>
              <w:bottom w:val="single" w:sz="4" w:space="0" w:color="auto"/>
              <w:right w:val="nil"/>
            </w:tcBorders>
          </w:tcPr>
          <w:p w:rsidR="00F278A3" w:rsidRPr="00F15BBC" w:rsidRDefault="00F278A3" w:rsidP="00681F65">
            <w:pPr>
              <w:pStyle w:val="ConsPlusNormal"/>
              <w:rPr>
                <w:rFonts w:ascii="Times New Roman" w:hAnsi="Times New Roman" w:cs="Times New Roman"/>
              </w:rPr>
            </w:pPr>
          </w:p>
        </w:tc>
      </w:tr>
      <w:tr w:rsidR="00F278A3" w:rsidRPr="00F15BBC" w:rsidTr="00681F65">
        <w:tc>
          <w:tcPr>
            <w:tcW w:w="1587"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1446" w:type="dxa"/>
            <w:gridSpan w:val="2"/>
            <w:tcBorders>
              <w:top w:val="single" w:sz="4" w:space="0" w:color="auto"/>
              <w:left w:val="nil"/>
              <w:bottom w:val="nil"/>
              <w:right w:val="nil"/>
            </w:tcBorders>
          </w:tcPr>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должность</w:t>
            </w:r>
          </w:p>
        </w:tc>
        <w:tc>
          <w:tcPr>
            <w:tcW w:w="340"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2268" w:type="dxa"/>
            <w:gridSpan w:val="2"/>
            <w:tcBorders>
              <w:top w:val="single" w:sz="4" w:space="0" w:color="auto"/>
              <w:left w:val="nil"/>
              <w:bottom w:val="nil"/>
              <w:right w:val="nil"/>
            </w:tcBorders>
          </w:tcPr>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подпись</w:t>
            </w:r>
          </w:p>
        </w:tc>
        <w:tc>
          <w:tcPr>
            <w:tcW w:w="340" w:type="dxa"/>
            <w:tcBorders>
              <w:top w:val="nil"/>
              <w:left w:val="nil"/>
              <w:bottom w:val="nil"/>
              <w:right w:val="nil"/>
            </w:tcBorders>
          </w:tcPr>
          <w:p w:rsidR="00F278A3" w:rsidRPr="00F15BBC" w:rsidRDefault="00F278A3" w:rsidP="00681F65">
            <w:pPr>
              <w:pStyle w:val="ConsPlusNormal"/>
              <w:rPr>
                <w:rFonts w:ascii="Times New Roman" w:hAnsi="Times New Roman" w:cs="Times New Roman"/>
              </w:rPr>
            </w:pPr>
          </w:p>
        </w:tc>
        <w:tc>
          <w:tcPr>
            <w:tcW w:w="3061" w:type="dxa"/>
            <w:tcBorders>
              <w:top w:val="single" w:sz="4" w:space="0" w:color="auto"/>
              <w:left w:val="nil"/>
              <w:bottom w:val="nil"/>
              <w:right w:val="nil"/>
            </w:tcBorders>
          </w:tcPr>
          <w:p w:rsidR="00F278A3" w:rsidRPr="00F15BBC" w:rsidRDefault="00F278A3" w:rsidP="00681F65">
            <w:pPr>
              <w:pStyle w:val="ConsPlusNormal"/>
              <w:jc w:val="center"/>
              <w:rPr>
                <w:rFonts w:ascii="Times New Roman" w:hAnsi="Times New Roman" w:cs="Times New Roman"/>
              </w:rPr>
            </w:pPr>
            <w:r w:rsidRPr="00F15BBC">
              <w:rPr>
                <w:rFonts w:ascii="Times New Roman" w:hAnsi="Times New Roman" w:cs="Times New Roman"/>
              </w:rPr>
              <w:t>расшифровка подписи</w:t>
            </w:r>
          </w:p>
        </w:tc>
      </w:tr>
    </w:tbl>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ind w:firstLine="540"/>
        <w:jc w:val="both"/>
        <w:rPr>
          <w:rFonts w:ascii="Times New Roman" w:hAnsi="Times New Roman" w:cs="Times New Roman"/>
        </w:rPr>
      </w:pPr>
      <w:r w:rsidRPr="00F15BBC">
        <w:rPr>
          <w:rFonts w:ascii="Times New Roman" w:hAnsi="Times New Roman" w:cs="Times New Roman"/>
        </w:rPr>
        <w:t xml:space="preserve">Примечание: Заполняется в случае, если услуги оказаны, работы выполнены, но отсутствуют первичные документы (акты, УПД), в том числе по услугам связи, поставке </w:t>
      </w:r>
      <w:proofErr w:type="spellStart"/>
      <w:r w:rsidRPr="00F15BBC">
        <w:rPr>
          <w:rFonts w:ascii="Times New Roman" w:hAnsi="Times New Roman" w:cs="Times New Roman"/>
        </w:rPr>
        <w:t>теплоэнергии</w:t>
      </w:r>
      <w:proofErr w:type="spellEnd"/>
      <w:r w:rsidRPr="00F15BBC">
        <w:rPr>
          <w:rFonts w:ascii="Times New Roman" w:hAnsi="Times New Roman" w:cs="Times New Roman"/>
        </w:rPr>
        <w:t>, электроэнергии, водоснабжению и водоотведению (расчет стоимости потребляемых услуг производится исходя из установленных тарифов и графика потребления) и т.п.</w:t>
      </w:r>
    </w:p>
    <w:p w:rsidR="00F278A3" w:rsidRPr="00F15BBC" w:rsidRDefault="00F278A3" w:rsidP="00F278A3">
      <w:pPr>
        <w:pStyle w:val="ConsPlusNormal"/>
        <w:jc w:val="both"/>
        <w:rPr>
          <w:rFonts w:ascii="Times New Roman" w:hAnsi="Times New Roman" w:cs="Times New Roman"/>
        </w:rPr>
      </w:pPr>
    </w:p>
    <w:p w:rsidR="00F278A3" w:rsidRPr="00F15BBC" w:rsidRDefault="00F278A3" w:rsidP="00F278A3">
      <w:pPr>
        <w:pStyle w:val="ConsPlusNormal"/>
        <w:jc w:val="both"/>
        <w:rPr>
          <w:rFonts w:ascii="Times New Roman" w:hAnsi="Times New Roman" w:cs="Times New Roman"/>
        </w:rPr>
      </w:pPr>
    </w:p>
    <w:p w:rsidR="002C4865" w:rsidRPr="00F15BBC" w:rsidRDefault="00F15BBC"/>
    <w:sectPr w:rsidR="002C4865" w:rsidRPr="00F15B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6B8"/>
    <w:rsid w:val="000C6B34"/>
    <w:rsid w:val="002D6DAA"/>
    <w:rsid w:val="003C0251"/>
    <w:rsid w:val="0054331F"/>
    <w:rsid w:val="00783027"/>
    <w:rsid w:val="008326B8"/>
    <w:rsid w:val="00D24BA1"/>
    <w:rsid w:val="00F15BBC"/>
    <w:rsid w:val="00F278A3"/>
    <w:rsid w:val="00FF4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EEC460-3855-44E0-9683-1412455A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6DAA"/>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278A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278A3"/>
    <w:pPr>
      <w:widowControl w:val="0"/>
      <w:autoSpaceDE w:val="0"/>
      <w:autoSpaceDN w:val="0"/>
      <w:spacing w:after="0" w:line="240" w:lineRule="auto"/>
    </w:pPr>
    <w:rPr>
      <w:rFonts w:ascii="Calibri" w:eastAsiaTheme="minorEastAsia" w:hAnsi="Calibri" w:cs="Calibri"/>
      <w:b/>
      <w:lang w:eastAsia="ru-RU"/>
    </w:rPr>
  </w:style>
  <w:style w:type="character" w:customStyle="1" w:styleId="s10">
    <w:name w:val="s_10"/>
    <w:basedOn w:val="a0"/>
    <w:rsid w:val="002D6D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4FA7988FBD2EFDA548AC1AEE9D81F547A1CE31F345151CF2DE50F547D5AA88BEC55BDD74FA7BABEE52F99BA6BC17CDF56161057ECCB56EC8g0W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1689</Words>
  <Characters>9628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Верба</dc:creator>
  <cp:keywords/>
  <dc:description/>
  <cp:lastModifiedBy>Любовь Верба</cp:lastModifiedBy>
  <cp:revision>6</cp:revision>
  <dcterms:created xsi:type="dcterms:W3CDTF">2023-03-23T13:48:00Z</dcterms:created>
  <dcterms:modified xsi:type="dcterms:W3CDTF">2023-05-30T10:51:00Z</dcterms:modified>
</cp:coreProperties>
</file>