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jc w:val="right"/>
        <w:rPr>
          <w:sz w:val="20"/>
        </w:rPr>
      </w:pPr>
      <w:r>
        <w:rPr>
          <w:sz w:val="20"/>
        </w:rPr>
        <w:t>проект</w:t>
      </w:r>
    </w:p>
    <w:p>
      <w:pPr>
        <w:pStyle w:val="Caption"/>
        <w:rPr>
          <w:sz w:val="20"/>
        </w:rPr>
      </w:pPr>
      <w:r>
        <w:rPr>
          <w:sz w:val="20"/>
        </w:rPr>
      </w:r>
    </w:p>
    <w:p>
      <w:pPr>
        <w:pStyle w:val="Caption"/>
        <w:rPr/>
      </w:pPr>
      <w:r>
        <w:rPr/>
        <w:drawing>
          <wp:inline distT="0" distB="0" distL="0" distR="0">
            <wp:extent cx="504825" cy="600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2"/>
        <w:tabs>
          <w:tab w:val="clear" w:pos="4677"/>
          <w:tab w:val="clear" w:pos="9355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</w:t>
      </w:r>
      <w:r>
        <w:rPr>
          <w:sz w:val="16"/>
        </w:rPr>
        <w:t>№</w:t>
      </w:r>
      <w:r>
        <w:rPr/>
        <w:t xml:space="preserve">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" cy="228600"/>
                <wp:effectExtent l="5080" t="5080" r="5080" b="508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0pt,17.9pt" ID="Прямая соединительная линия 4" stroked="t" o:allowincell="f" style="position:absolute;flip:y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0"/>
                <wp:effectExtent l="5080" t="5080" r="5080" b="5080"/>
                <wp:wrapNone/>
                <wp:docPr id="3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17.95pt,-0.05pt" ID="Прямая соединительная линия 5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5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228600" cy="0"/>
                <wp:effectExtent l="5080" t="5080" r="5080" b="508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-0.05pt" to="197.95pt,-0.05pt" ID="Прямая соединительная линия 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">
                <wp:simplePos x="0" y="0"/>
                <wp:positionH relativeFrom="column">
                  <wp:posOffset>2513965</wp:posOffset>
                </wp:positionH>
                <wp:positionV relativeFrom="paragraph">
                  <wp:posOffset>-635</wp:posOffset>
                </wp:positionV>
                <wp:extent cx="635" cy="228600"/>
                <wp:effectExtent l="5080" t="5080" r="5080" b="5080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95pt,-0.05pt" to="197.95pt,17.9pt" ID="Прямая соединительная линия 2" stroked="t" o:allowincell="f" style="position:absolute;flip:y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«Об определении границ, прилегающих территорий, на которых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допускается розничная продажа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алкогольной продукции.»  </w:t>
      </w:r>
    </w:p>
    <w:p>
      <w:pPr>
        <w:pStyle w:val="12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Руководствуясь пунктом 8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постановлением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которые не допускается розничная продажа алкогольной  продукции и розничная продажа алкогольной продукции при оказании услуг общественного питания», на основании  статьи 25 Устава Великоустюгского муниципального округа: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bookmarkStart w:id="0" w:name="Par0"/>
      <w:bookmarkEnd w:id="0"/>
      <w:r>
        <w:rPr>
          <w:rFonts w:eastAsia="Calibri" w:eastAsiaTheme="minorHAnsi"/>
          <w:sz w:val="26"/>
          <w:szCs w:val="26"/>
          <w:lang w:eastAsia="en-US"/>
        </w:rPr>
        <w:t>1. Установить следующие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bookmarkStart w:id="1" w:name="Par1"/>
      <w:bookmarkEnd w:id="1"/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ab/>
        <w:t xml:space="preserve">к зданиям, строениям, сооружениям, помещениям, находящимся во владении и (или) пользовании </w:t>
      </w:r>
      <w:hyperlink r:id="rId4">
        <w:r>
          <w:rPr>
            <w:rFonts w:eastAsia="Calibri" w:eastAsiaTheme="minorHAnsi"/>
            <w:sz w:val="26"/>
            <w:szCs w:val="26"/>
            <w:lang w:eastAsia="en-US"/>
          </w:rPr>
          <w:t>образовательных организаций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(за исключением организаций дополнительного образования, организаций дополнительного профессионального образования) - 20 метров;</w:t>
      </w:r>
    </w:p>
    <w:p>
      <w:pPr>
        <w:pStyle w:val="Normal"/>
        <w:spacing w:before="20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несовершеннолетних- 20 метров;</w:t>
      </w:r>
    </w:p>
    <w:p>
      <w:pPr>
        <w:pStyle w:val="Normal"/>
        <w:spacing w:before="20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bookmarkStart w:id="2" w:name="Par3"/>
      <w:bookmarkEnd w:id="2"/>
      <w:r>
        <w:rPr>
          <w:rFonts w:eastAsia="Calibri" w:eastAsiaTheme="minorHAnsi"/>
          <w:sz w:val="26"/>
          <w:szCs w:val="26"/>
          <w:lang w:eastAsia="en-US"/>
        </w:rPr>
        <w:t>к зданиям, строениям, сооружениям, помещениям, находящимся во владении и (или) пользовании юридических лиц независимо от</w:t>
      </w:r>
      <w:r>
        <w:rPr>
          <w:rFonts w:eastAsia="Calibri" w:eastAsiaTheme="minorHAnsi"/>
          <w:sz w:val="28"/>
          <w:szCs w:val="28"/>
          <w:lang w:eastAsia="en-US"/>
        </w:rPr>
        <w:t xml:space="preserve"> организационно-правовой </w:t>
      </w:r>
      <w:r>
        <w:rPr>
          <w:rFonts w:eastAsia="Calibri" w:eastAsiaTheme="minorHAnsi"/>
          <w:sz w:val="26"/>
          <w:szCs w:val="26"/>
          <w:lang w:eastAsia="en-US"/>
        </w:rPr>
        <w:t>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- 20 метров;</w:t>
      </w:r>
    </w:p>
    <w:p>
      <w:pPr>
        <w:pStyle w:val="Normal"/>
        <w:spacing w:before="20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к </w:t>
      </w:r>
      <w:hyperlink r:id="rId5">
        <w:r>
          <w:rPr>
            <w:rFonts w:eastAsia="Calibri" w:eastAsiaTheme="minorHAnsi"/>
            <w:sz w:val="26"/>
            <w:szCs w:val="26"/>
            <w:lang w:eastAsia="en-US"/>
          </w:rPr>
          <w:t>спортивным сооружениям</w:t>
        </w:r>
      </w:hyperlink>
      <w:r>
        <w:rPr>
          <w:rFonts w:eastAsia="Calibri" w:eastAsiaTheme="minorHAnsi"/>
          <w:sz w:val="26"/>
          <w:szCs w:val="26"/>
          <w:lang w:eastAsia="en-US"/>
        </w:rPr>
        <w:t>, которые являются объектами недвижимости и права, на которые зарегистрированы в установленном порядке - 50 метров;</w:t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</w:r>
    </w:p>
    <w:p>
      <w:pPr>
        <w:pStyle w:val="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к боевым позициям войскам, полигонам, узлам связи, в расположении воинских частей, к специальным технологическим комплексам, к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- 50 метров;</w:t>
      </w:r>
    </w:p>
    <w:p>
      <w:pPr>
        <w:pStyle w:val="Normal"/>
        <w:spacing w:before="20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к вокзалам, к аэропортам - 100 метров;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        </w:t>
      </w:r>
    </w:p>
    <w:p>
      <w:pPr>
        <w:pStyle w:val="Normal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   </w:t>
      </w:r>
      <w:r>
        <w:rPr>
          <w:rFonts w:eastAsia="Calibri" w:eastAsiaTheme="minorHAnsi"/>
          <w:sz w:val="26"/>
          <w:szCs w:val="26"/>
          <w:lang w:eastAsia="en-US"/>
        </w:rPr>
        <w:t xml:space="preserve">к местам нахождения источников повышенной опасности, определенных органами государственной власти субъектов РФ, в порядке установленном Правительством РФ - 500 метров. </w:t>
      </w:r>
    </w:p>
    <w:p>
      <w:pPr>
        <w:pStyle w:val="Normal"/>
        <w:spacing w:before="26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Прилегающая территория включает обособленную территорию (при наличии таковой), а также территорию, определенную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объекты.</w:t>
      </w:r>
    </w:p>
    <w:p>
      <w:pPr>
        <w:pStyle w:val="Normal"/>
        <w:spacing w:before="26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2. Расстояние от организаций и (или) объектов, указанных в </w:t>
      </w:r>
      <w:hyperlink w:anchor="Par0">
        <w:r>
          <w:rPr>
            <w:rFonts w:eastAsia="Calibri" w:eastAsiaTheme="minorHAnsi"/>
            <w:sz w:val="26"/>
            <w:szCs w:val="26"/>
            <w:lang w:eastAsia="en-US"/>
          </w:rPr>
          <w:t>пункте 1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настоящего решения, до границ прилегающих территорий определяется по радиусу (кратчайшее расстояние по прямой). При наличии обособленной территории - от входа для посетителей на обособленную территорию, при отсутствии обособленной территории - от входа для посетителей в здание (строение, сооружение). 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 с обособленной территорией объекта.</w:t>
      </w:r>
    </w:p>
    <w:p>
      <w:pPr>
        <w:pStyle w:val="Normal"/>
        <w:spacing w:before="26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В случае если организация по розничной продаже алкогольной продукции и объекты, указанные в </w:t>
      </w:r>
      <w:hyperlink w:anchor="Par0">
        <w:r>
          <w:rPr>
            <w:rFonts w:eastAsia="Calibri" w:eastAsiaTheme="minorHAnsi"/>
            <w:sz w:val="26"/>
            <w:szCs w:val="26"/>
            <w:lang w:eastAsia="en-US"/>
          </w:rPr>
          <w:t>пункте 1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настоящего решения, находятся внутри одного здания, строения, прилегающая территория определяется от входных дверей объекта, указанного в </w:t>
      </w:r>
      <w:hyperlink w:anchor="Par0">
        <w:r>
          <w:rPr>
            <w:rFonts w:eastAsia="Calibri" w:eastAsiaTheme="minorHAnsi"/>
            <w:sz w:val="26"/>
            <w:szCs w:val="26"/>
            <w:lang w:eastAsia="en-US"/>
          </w:rPr>
          <w:t>пункте 1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настоящего решения, до ближайших входных дверей для посетителей организаций, осуществляющих розничную продажу алкогольной продукции.</w:t>
      </w:r>
    </w:p>
    <w:p>
      <w:pPr>
        <w:pStyle w:val="Normal"/>
        <w:spacing w:before="260" w:after="0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3. Схемы границ прилегающих территорий для каждой организации и (или) объекта, указанных в </w:t>
      </w:r>
      <w:hyperlink w:anchor="Par0">
        <w:r>
          <w:rPr>
            <w:rFonts w:eastAsia="Calibri" w:eastAsiaTheme="minorHAnsi"/>
            <w:sz w:val="26"/>
            <w:szCs w:val="26"/>
            <w:lang w:eastAsia="en-US"/>
          </w:rPr>
          <w:t>пункте 1</w:t>
        </w:r>
      </w:hyperlink>
      <w:r>
        <w:rPr>
          <w:rFonts w:eastAsia="Calibri" w:eastAsiaTheme="minorHAnsi"/>
          <w:sz w:val="26"/>
          <w:szCs w:val="26"/>
          <w:lang w:eastAsia="en-US"/>
        </w:rPr>
        <w:t xml:space="preserve"> настоящего решения, утверждаются постановлением администрации Великоустюгского муниципального округа.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4. Признать утратившим силу: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 решение Великоустюгской Думы от 19.04.2013 № 28 «Об определении границ прилегающих к некоторым организациям и объектам территорий, но которых не допускается розничная продажа алкогольной продукции на территории Великоустюгского муниципального района»;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решение Великоустюгской Думы от 03.11.2016 № 67 «О внесении изменений в решение Великоустюгской Думы от 19.04.2013 № 28 «Об определении границ прилегающих к некоторым организациям и объектам территорий, но которых не допускается розничная продажа алкогольной продукции на территории Великоустюгского муниципального района»;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решение Великоустюгской Думы от 10.03.2015 № 19 «О внесении изменений в решение Великоустюгской Думы от 19.04.2013 № 28 «Об определении границ прилегающих к некоторым организациям и объектам территорий, но которых не допускается розничная продажа алкогольной продукции на территории Великоустюгского муниципального района»;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решение Великоустюгской Думы от 30.09.2015 № 94 «О внесении изменений в решение Великоустюгской Думы от 19.04.2013 № 28 «Об определении границ прилегающих к некоторым организациям и объектам территорий, но которых не допускается розничная продажа алкогольной продукции на территории Великоустюгского муниципального района».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5. Настоящее решение вступает в силу после официального опубликования.</w:t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3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>Председатель                                                                           Глава Великоустюгского</w:t>
      </w:r>
    </w:p>
    <w:p>
      <w:pPr>
        <w:pStyle w:val="Normal"/>
        <w:shd w:val="clear" w:color="auto" w:fill="FFFFFF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>Великоустюгской Думы                                                            муниципального округа</w:t>
      </w:r>
    </w:p>
    <w:p>
      <w:pPr>
        <w:pStyle w:val="Normal"/>
        <w:shd w:val="clear" w:color="auto" w:fill="FFFFFF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>__________________С.А. Капустин                          ________________ А.В. Кузьмин</w:t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>ПОЯСНИТЕЛЬНАЯ ЗАПИСКА</w:t>
      </w:r>
    </w:p>
    <w:p>
      <w:pPr>
        <w:pStyle w:val="Normal"/>
        <w:shd w:val="clear" w:color="auto" w:fill="FFFFFF"/>
        <w:jc w:val="center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ab/>
        <w:t>Настоящий проект решения разработан в связи с реорганизацией с 1 января 2022 года Великоустюгского муниципального район в Великоустюгского муниципального округа, а также учтены изменения, принятые в законодательство регулирующее розничную продажу алкогольной продукции.</w:t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  <w:tab/>
        <w:t xml:space="preserve">При этом изменения в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не вносится. </w:t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color w:val="262633"/>
          <w:sz w:val="26"/>
          <w:szCs w:val="26"/>
        </w:rPr>
      </w:pPr>
      <w:r>
        <w:rPr>
          <w:color w:val="262633"/>
          <w:sz w:val="26"/>
          <w:szCs w:val="26"/>
        </w:rPr>
      </w:r>
    </w:p>
    <w:p>
      <w:pPr>
        <w:pStyle w:val="ConsPlusNormal"/>
        <w:jc w:val="both"/>
        <w:rPr/>
      </w:pPr>
      <w:r>
        <w:rPr/>
        <w:t xml:space="preserve"> </w:t>
      </w:r>
      <w:bookmarkStart w:id="3" w:name="_GoBack"/>
      <w:bookmarkEnd w:id="3"/>
    </w:p>
    <w:p>
      <w:pPr>
        <w:pStyle w:val="ConsPlusNormal"/>
        <w:spacing w:before="0" w:after="1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53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553c0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qFormat/>
    <w:rsid w:val="00f553c0"/>
    <w:pPr>
      <w:keepNext w:val="true"/>
      <w:jc w:val="center"/>
      <w:outlineLvl w:val="1"/>
    </w:pPr>
    <w:rPr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553c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f553c0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qFormat/>
    <w:rsid w:val="00f553c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f553c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679e3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f553c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f553c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f553c0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aption">
    <w:name w:val="caption"/>
    <w:basedOn w:val="Normal"/>
    <w:next w:val="Normal"/>
    <w:qFormat/>
    <w:rsid w:val="00f553c0"/>
    <w:pPr>
      <w:jc w:val="center"/>
    </w:pPr>
    <w:rPr>
      <w:b/>
      <w:b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rsid w:val="00f553c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Body Text Indent"/>
    <w:basedOn w:val="Normal"/>
    <w:link w:val="Style13"/>
    <w:rsid w:val="00f553c0"/>
    <w:pPr>
      <w:ind w:firstLine="720"/>
      <w:jc w:val="both"/>
    </w:pPr>
    <w:rPr>
      <w:sz w:val="28"/>
    </w:rPr>
  </w:style>
  <w:style w:type="paragraph" w:styleId="12" w:customStyle="1">
    <w:name w:val="Обычный1"/>
    <w:qFormat/>
    <w:rsid w:val="00f553c0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5d343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679e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925A49BA40DB704F3C264CFE78A7C767CBD98624AB93CFE00FF4914B6E481C065AF56B80AD19B01FC8ACBBE685C71A8BA3B7921AB3F4DD0U0N0K" TargetMode="External"/><Relationship Id="rId4" Type="http://schemas.openxmlformats.org/officeDocument/2006/relationships/hyperlink" Target="consultantplus://offline/ref=14D71780D4F8A600923D1F88ECE73671F7613CA241287A87DAE392F8CB84D284D5729ED1DB8A7188EAFA888CD5F5C8F98C9EDFC9D92CF804y2NDI" TargetMode="External"/><Relationship Id="rId5" Type="http://schemas.openxmlformats.org/officeDocument/2006/relationships/hyperlink" Target="consultantplus://offline/ref=14D71780D4F8A600923D1F88ECE73671F76236A240297A87DAE392F8CB84D284D5729ED8DF8C7ADCBEB589D090A0DBF88D9EDDC8C5y2NDI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LibreOffice/7.4.3.2$Linux_X86_64 LibreOffice_project/40$Build-2</Application>
  <AppVersion>15.0000</AppVersion>
  <Pages>4</Pages>
  <Words>766</Words>
  <Characters>5775</Characters>
  <CharactersWithSpaces>6768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2022-12-13T11:15:00Z</dcterms:created>
  <dc:creator>WIN10</dc:creator>
  <dc:description/>
  <dc:language>ru-RU</dc:language>
  <cp:lastModifiedBy/>
  <cp:lastPrinted>2023-01-10T13:43:00Z</cp:lastPrinted>
  <dcterms:modified xsi:type="dcterms:W3CDTF">2023-04-04T10:31:57Z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