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65" w:rsidRPr="00BA1988" w:rsidRDefault="007B1865" w:rsidP="007B1865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48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865" w:rsidRPr="00BA1988" w:rsidRDefault="007B1865" w:rsidP="007B186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1988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7B1865" w:rsidRDefault="007B1865" w:rsidP="007B186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1988">
        <w:rPr>
          <w:rFonts w:ascii="Times New Roman" w:hAnsi="Times New Roman"/>
          <w:b/>
          <w:sz w:val="28"/>
          <w:szCs w:val="28"/>
        </w:rPr>
        <w:t xml:space="preserve">ВЕЛИКОУСТЮГСКОГО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</w:p>
    <w:p w:rsidR="007B1865" w:rsidRDefault="007B1865" w:rsidP="007B186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ВОЛОГОДСКОЙ ОБЛАСТИ</w:t>
      </w:r>
    </w:p>
    <w:p w:rsidR="007B1865" w:rsidRPr="00BA1988" w:rsidRDefault="007B1865" w:rsidP="007B186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B1865" w:rsidRPr="0001351A" w:rsidRDefault="007B1865" w:rsidP="007B1865">
      <w:pPr>
        <w:jc w:val="center"/>
        <w:rPr>
          <w:rFonts w:ascii="Times New Roman" w:hAnsi="Times New Roman"/>
          <w:b/>
          <w:sz w:val="24"/>
          <w:szCs w:val="24"/>
        </w:rPr>
      </w:pPr>
      <w:r w:rsidRPr="0001351A">
        <w:rPr>
          <w:rFonts w:ascii="Times New Roman" w:hAnsi="Times New Roman"/>
          <w:b/>
          <w:sz w:val="24"/>
          <w:szCs w:val="24"/>
        </w:rPr>
        <w:t xml:space="preserve">ИНФОРМАЦИЯ О </w:t>
      </w:r>
      <w:r w:rsidR="00FA2C0B" w:rsidRPr="0001351A">
        <w:rPr>
          <w:rFonts w:ascii="Times New Roman" w:hAnsi="Times New Roman"/>
          <w:b/>
          <w:sz w:val="24"/>
          <w:szCs w:val="24"/>
        </w:rPr>
        <w:t>Р</w:t>
      </w:r>
      <w:r w:rsidRPr="0001351A">
        <w:rPr>
          <w:rFonts w:ascii="Times New Roman" w:hAnsi="Times New Roman"/>
          <w:b/>
          <w:sz w:val="24"/>
          <w:szCs w:val="24"/>
        </w:rPr>
        <w:t xml:space="preserve">ЕЗУЛЬТАТАХ </w:t>
      </w:r>
      <w:r w:rsidR="00FA2C0B" w:rsidRPr="0001351A">
        <w:rPr>
          <w:rFonts w:ascii="Times New Roman" w:hAnsi="Times New Roman"/>
          <w:b/>
          <w:sz w:val="24"/>
          <w:szCs w:val="24"/>
        </w:rPr>
        <w:t>ЭКСПЕРТНО-АНАЛИТИЧЕСКОГО МЕРОПРИЯТИЯ</w:t>
      </w:r>
      <w:r w:rsidRPr="0001351A">
        <w:rPr>
          <w:rFonts w:ascii="Times New Roman" w:hAnsi="Times New Roman"/>
          <w:b/>
          <w:sz w:val="24"/>
          <w:szCs w:val="24"/>
        </w:rPr>
        <w:t xml:space="preserve"> </w:t>
      </w:r>
    </w:p>
    <w:p w:rsidR="002F23CB" w:rsidRPr="00357CC8" w:rsidRDefault="002F23CB" w:rsidP="0045582B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D53A0C">
        <w:rPr>
          <w:rFonts w:ascii="Times New Roman" w:hAnsi="Times New Roman"/>
          <w:sz w:val="27"/>
          <w:szCs w:val="27"/>
        </w:rPr>
        <w:t>В соответствии с планом работы Контрольно-счетной палаты Великоустюгского муниципального округа на 202</w:t>
      </w:r>
      <w:r w:rsidR="00811736">
        <w:rPr>
          <w:rFonts w:ascii="Times New Roman" w:hAnsi="Times New Roman"/>
          <w:sz w:val="27"/>
          <w:szCs w:val="27"/>
        </w:rPr>
        <w:t>4</w:t>
      </w:r>
      <w:r w:rsidRPr="00D53A0C">
        <w:rPr>
          <w:rFonts w:ascii="Times New Roman" w:hAnsi="Times New Roman"/>
          <w:sz w:val="27"/>
          <w:szCs w:val="27"/>
        </w:rPr>
        <w:t xml:space="preserve"> год проведен</w:t>
      </w:r>
      <w:r w:rsidR="0001351A">
        <w:rPr>
          <w:rFonts w:ascii="Times New Roman" w:hAnsi="Times New Roman"/>
          <w:sz w:val="27"/>
          <w:szCs w:val="27"/>
        </w:rPr>
        <w:t>о</w:t>
      </w:r>
      <w:r w:rsidRPr="00D53A0C">
        <w:rPr>
          <w:rFonts w:ascii="Times New Roman" w:hAnsi="Times New Roman"/>
          <w:sz w:val="27"/>
          <w:szCs w:val="27"/>
        </w:rPr>
        <w:t xml:space="preserve"> экспертно- аналитическо</w:t>
      </w:r>
      <w:r w:rsidR="0001351A">
        <w:rPr>
          <w:rFonts w:ascii="Times New Roman" w:hAnsi="Times New Roman"/>
          <w:sz w:val="27"/>
          <w:szCs w:val="27"/>
        </w:rPr>
        <w:t>е</w:t>
      </w:r>
      <w:r w:rsidRPr="00D53A0C">
        <w:rPr>
          <w:rFonts w:ascii="Times New Roman" w:hAnsi="Times New Roman"/>
          <w:sz w:val="27"/>
          <w:szCs w:val="27"/>
        </w:rPr>
        <w:t xml:space="preserve"> мероприяти</w:t>
      </w:r>
      <w:r w:rsidR="0001351A">
        <w:rPr>
          <w:rFonts w:ascii="Times New Roman" w:hAnsi="Times New Roman"/>
          <w:sz w:val="27"/>
          <w:szCs w:val="27"/>
        </w:rPr>
        <w:t>е</w:t>
      </w:r>
      <w:r w:rsidRPr="00D53A0C">
        <w:rPr>
          <w:rFonts w:ascii="Times New Roman" w:hAnsi="Times New Roman"/>
          <w:sz w:val="27"/>
          <w:szCs w:val="27"/>
        </w:rPr>
        <w:t xml:space="preserve"> </w:t>
      </w:r>
      <w:r w:rsidRPr="00357CC8">
        <w:rPr>
          <w:rFonts w:ascii="Times New Roman" w:hAnsi="Times New Roman"/>
          <w:sz w:val="27"/>
          <w:szCs w:val="27"/>
        </w:rPr>
        <w:t>на проект решения Великоустюгской Думы Великоустюгского муниципального округа Вологодской области «</w:t>
      </w:r>
      <w:r>
        <w:rPr>
          <w:rFonts w:ascii="Times New Roman" w:hAnsi="Times New Roman"/>
          <w:sz w:val="27"/>
          <w:szCs w:val="27"/>
        </w:rPr>
        <w:t xml:space="preserve">О </w:t>
      </w:r>
      <w:r w:rsidR="00811736">
        <w:rPr>
          <w:rFonts w:ascii="Times New Roman" w:hAnsi="Times New Roman"/>
          <w:sz w:val="27"/>
          <w:szCs w:val="27"/>
        </w:rPr>
        <w:t>туристическом налоге</w:t>
      </w:r>
      <w:r>
        <w:rPr>
          <w:rFonts w:ascii="Times New Roman" w:hAnsi="Times New Roman"/>
          <w:sz w:val="27"/>
          <w:szCs w:val="27"/>
        </w:rPr>
        <w:t>»</w:t>
      </w:r>
      <w:r w:rsidRPr="00357CC8">
        <w:rPr>
          <w:rFonts w:ascii="Times New Roman" w:hAnsi="Times New Roman"/>
          <w:sz w:val="27"/>
          <w:szCs w:val="27"/>
        </w:rPr>
        <w:t>.</w:t>
      </w:r>
    </w:p>
    <w:p w:rsidR="0001351A" w:rsidRDefault="0001351A" w:rsidP="00811736">
      <w:pPr>
        <w:pStyle w:val="a3"/>
        <w:ind w:firstLine="426"/>
        <w:jc w:val="both"/>
        <w:rPr>
          <w:rFonts w:ascii="Times New Roman" w:hAnsi="Times New Roman"/>
          <w:sz w:val="27"/>
          <w:szCs w:val="27"/>
        </w:rPr>
      </w:pPr>
    </w:p>
    <w:p w:rsidR="00811736" w:rsidRPr="00811736" w:rsidRDefault="00811736" w:rsidP="00811736">
      <w:pPr>
        <w:pStyle w:val="a3"/>
        <w:ind w:firstLine="426"/>
        <w:jc w:val="both"/>
        <w:rPr>
          <w:rFonts w:ascii="Times New Roman" w:hAnsi="Times New Roman"/>
          <w:sz w:val="27"/>
          <w:szCs w:val="27"/>
        </w:rPr>
      </w:pPr>
      <w:r w:rsidRPr="00811736">
        <w:rPr>
          <w:rFonts w:ascii="Times New Roman" w:hAnsi="Times New Roman"/>
          <w:sz w:val="27"/>
          <w:szCs w:val="27"/>
        </w:rPr>
        <w:t xml:space="preserve">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</w:t>
      </w:r>
      <w:r w:rsidR="0001351A">
        <w:rPr>
          <w:rFonts w:ascii="Times New Roman" w:hAnsi="Times New Roman"/>
          <w:sz w:val="27"/>
          <w:szCs w:val="27"/>
        </w:rPr>
        <w:t xml:space="preserve">внесены </w:t>
      </w:r>
      <w:r w:rsidRPr="00811736">
        <w:rPr>
          <w:rFonts w:ascii="Times New Roman" w:hAnsi="Times New Roman"/>
          <w:sz w:val="27"/>
          <w:szCs w:val="27"/>
        </w:rPr>
        <w:t>дополн</w:t>
      </w:r>
      <w:r w:rsidR="0001351A">
        <w:rPr>
          <w:rFonts w:ascii="Times New Roman" w:hAnsi="Times New Roman"/>
          <w:sz w:val="27"/>
          <w:szCs w:val="27"/>
        </w:rPr>
        <w:t>ения</w:t>
      </w:r>
      <w:r w:rsidRPr="00811736">
        <w:rPr>
          <w:rFonts w:ascii="Times New Roman" w:hAnsi="Times New Roman"/>
          <w:sz w:val="27"/>
          <w:szCs w:val="27"/>
        </w:rPr>
        <w:t xml:space="preserve"> главой 33.1 «Туристический налог»</w:t>
      </w:r>
      <w:r w:rsidR="0001351A">
        <w:rPr>
          <w:rFonts w:ascii="Times New Roman" w:hAnsi="Times New Roman"/>
          <w:sz w:val="27"/>
          <w:szCs w:val="27"/>
        </w:rPr>
        <w:t xml:space="preserve"> и</w:t>
      </w:r>
      <w:r w:rsidRPr="00811736">
        <w:rPr>
          <w:rFonts w:ascii="Times New Roman" w:hAnsi="Times New Roman"/>
          <w:sz w:val="27"/>
          <w:szCs w:val="27"/>
        </w:rPr>
        <w:t xml:space="preserve"> определены</w:t>
      </w:r>
      <w:r w:rsidR="0001351A">
        <w:rPr>
          <w:rFonts w:ascii="Times New Roman" w:hAnsi="Times New Roman"/>
          <w:sz w:val="27"/>
          <w:szCs w:val="27"/>
        </w:rPr>
        <w:t>:</w:t>
      </w:r>
      <w:r w:rsidRPr="00811736">
        <w:rPr>
          <w:rFonts w:ascii="Times New Roman" w:hAnsi="Times New Roman"/>
          <w:sz w:val="27"/>
          <w:szCs w:val="27"/>
        </w:rPr>
        <w:t xml:space="preserve"> общие положения, </w:t>
      </w:r>
      <w:r w:rsidR="0001351A">
        <w:rPr>
          <w:rFonts w:ascii="Times New Roman" w:hAnsi="Times New Roman"/>
          <w:sz w:val="27"/>
          <w:szCs w:val="27"/>
        </w:rPr>
        <w:t xml:space="preserve">категории </w:t>
      </w:r>
      <w:r w:rsidRPr="00811736">
        <w:rPr>
          <w:rFonts w:ascii="Times New Roman" w:hAnsi="Times New Roman"/>
          <w:sz w:val="27"/>
          <w:szCs w:val="27"/>
        </w:rPr>
        <w:t>плательщик</w:t>
      </w:r>
      <w:r w:rsidR="0001351A">
        <w:rPr>
          <w:rFonts w:ascii="Times New Roman" w:hAnsi="Times New Roman"/>
          <w:sz w:val="27"/>
          <w:szCs w:val="27"/>
        </w:rPr>
        <w:t>ов</w:t>
      </w:r>
      <w:r w:rsidRPr="00811736">
        <w:rPr>
          <w:rFonts w:ascii="Times New Roman" w:hAnsi="Times New Roman"/>
          <w:sz w:val="27"/>
          <w:szCs w:val="27"/>
        </w:rPr>
        <w:t xml:space="preserve"> налога, налоговая база, ставки налога, порядок уплаты, налоговый период, порядок исчисления</w:t>
      </w:r>
      <w:r w:rsidR="0001351A">
        <w:rPr>
          <w:rFonts w:ascii="Times New Roman" w:hAnsi="Times New Roman"/>
          <w:sz w:val="27"/>
          <w:szCs w:val="27"/>
        </w:rPr>
        <w:t xml:space="preserve"> налога</w:t>
      </w:r>
      <w:r w:rsidRPr="00811736">
        <w:rPr>
          <w:rFonts w:ascii="Times New Roman" w:hAnsi="Times New Roman"/>
          <w:sz w:val="27"/>
          <w:szCs w:val="27"/>
        </w:rPr>
        <w:t>.</w:t>
      </w:r>
    </w:p>
    <w:p w:rsidR="00811736" w:rsidRDefault="00811736" w:rsidP="00811736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811736">
        <w:rPr>
          <w:rFonts w:ascii="Times New Roman" w:hAnsi="Times New Roman"/>
          <w:color w:val="1A1A1A"/>
          <w:sz w:val="27"/>
          <w:szCs w:val="27"/>
        </w:rPr>
        <w:t xml:space="preserve">В соответствии со статьей 418.1 Налогового кодекса РФ на территории Великоустюгского муниципального округа разработан </w:t>
      </w:r>
      <w:r w:rsidRPr="00811736">
        <w:rPr>
          <w:rFonts w:ascii="Times New Roman" w:hAnsi="Times New Roman"/>
          <w:sz w:val="27"/>
          <w:szCs w:val="27"/>
        </w:rPr>
        <w:t xml:space="preserve">нормативный правовой акт представительного органа, которым </w:t>
      </w:r>
      <w:r w:rsidR="00FD6103">
        <w:rPr>
          <w:rFonts w:ascii="Times New Roman" w:hAnsi="Times New Roman"/>
          <w:sz w:val="27"/>
          <w:szCs w:val="27"/>
        </w:rPr>
        <w:t xml:space="preserve">с 1 января 2025 года </w:t>
      </w:r>
      <w:r w:rsidRPr="00811736">
        <w:rPr>
          <w:rFonts w:ascii="Times New Roman" w:hAnsi="Times New Roman"/>
          <w:sz w:val="27"/>
          <w:szCs w:val="27"/>
        </w:rPr>
        <w:t>вводится в действие и обязателен к уплате на территории Великоустюгского муниципального округа туристический налог.</w:t>
      </w:r>
    </w:p>
    <w:p w:rsidR="00FD6103" w:rsidRPr="00FD6103" w:rsidRDefault="0001351A" w:rsidP="00811736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FD6103">
        <w:rPr>
          <w:rFonts w:ascii="Times New Roman" w:hAnsi="Times New Roman"/>
          <w:sz w:val="27"/>
          <w:szCs w:val="27"/>
        </w:rPr>
        <w:t>Для введения</w:t>
      </w:r>
      <w:r w:rsidR="00811736" w:rsidRPr="00FD6103">
        <w:rPr>
          <w:rFonts w:ascii="Times New Roman" w:hAnsi="Times New Roman"/>
          <w:sz w:val="27"/>
          <w:szCs w:val="27"/>
        </w:rPr>
        <w:t xml:space="preserve"> туристического налога</w:t>
      </w:r>
      <w:r w:rsidRPr="00FD6103">
        <w:rPr>
          <w:rFonts w:ascii="Times New Roman" w:hAnsi="Times New Roman"/>
          <w:sz w:val="27"/>
          <w:szCs w:val="27"/>
        </w:rPr>
        <w:t xml:space="preserve"> </w:t>
      </w:r>
      <w:r w:rsidR="00FD6103" w:rsidRPr="00FD6103">
        <w:rPr>
          <w:rFonts w:ascii="Times New Roman" w:hAnsi="Times New Roman"/>
          <w:sz w:val="27"/>
          <w:szCs w:val="27"/>
        </w:rPr>
        <w:t xml:space="preserve">главой 33.1 Налогового кодекса Российской федерации </w:t>
      </w:r>
      <w:r w:rsidR="00811736" w:rsidRPr="00FD6103">
        <w:rPr>
          <w:rFonts w:ascii="Times New Roman" w:hAnsi="Times New Roman"/>
          <w:sz w:val="27"/>
          <w:szCs w:val="27"/>
        </w:rPr>
        <w:t xml:space="preserve">определены </w:t>
      </w:r>
      <w:r w:rsidR="00FD6103" w:rsidRPr="00FD6103">
        <w:rPr>
          <w:rFonts w:ascii="Times New Roman" w:hAnsi="Times New Roman"/>
          <w:sz w:val="27"/>
          <w:szCs w:val="27"/>
        </w:rPr>
        <w:t>налогоплательщики налога, налоговая база, определен ряд категорий физических лиц, которым при оказании услуг временного проживания ее стоимость (при подтверждении статуса физического лица) не включается в налогооблагаемую бызу.</w:t>
      </w:r>
    </w:p>
    <w:p w:rsidR="00811736" w:rsidRPr="00E14E26" w:rsidRDefault="00FD6103" w:rsidP="00811736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E14E26">
        <w:rPr>
          <w:rFonts w:ascii="Times New Roman" w:hAnsi="Times New Roman"/>
          <w:sz w:val="27"/>
          <w:szCs w:val="27"/>
        </w:rPr>
        <w:t xml:space="preserve">Проектом решения установлены </w:t>
      </w:r>
      <w:r w:rsidR="00811736" w:rsidRPr="00E14E26">
        <w:rPr>
          <w:rFonts w:ascii="Times New Roman" w:hAnsi="Times New Roman"/>
          <w:sz w:val="27"/>
          <w:szCs w:val="27"/>
        </w:rPr>
        <w:t>налоговые ставки в пределах размеров, предусмотренных Налоговым кодексом РФ</w:t>
      </w:r>
      <w:r w:rsidRPr="00E14E26">
        <w:rPr>
          <w:rFonts w:ascii="Times New Roman" w:hAnsi="Times New Roman"/>
          <w:sz w:val="27"/>
          <w:szCs w:val="27"/>
        </w:rPr>
        <w:t xml:space="preserve">, а также </w:t>
      </w:r>
      <w:r w:rsidR="00E14E26" w:rsidRPr="00E14E26">
        <w:rPr>
          <w:rFonts w:ascii="Times New Roman" w:hAnsi="Times New Roman"/>
          <w:sz w:val="27"/>
          <w:szCs w:val="27"/>
        </w:rPr>
        <w:t>установлены отдельные дополнительные преференции</w:t>
      </w:r>
      <w:r w:rsidR="00E14E26">
        <w:rPr>
          <w:rFonts w:ascii="Times New Roman" w:hAnsi="Times New Roman"/>
          <w:sz w:val="27"/>
          <w:szCs w:val="27"/>
        </w:rPr>
        <w:t xml:space="preserve"> В соответствии с Бюджетным кодексом Российской Федерации туристический налог будет зачисляться в бюджет округа по нормативу 100 %.</w:t>
      </w:r>
      <w:r w:rsidR="00811736" w:rsidRPr="00E14E26">
        <w:rPr>
          <w:rFonts w:ascii="Times New Roman" w:hAnsi="Times New Roman"/>
          <w:sz w:val="27"/>
          <w:szCs w:val="27"/>
        </w:rPr>
        <w:t>.</w:t>
      </w:r>
    </w:p>
    <w:p w:rsidR="0001351A" w:rsidRDefault="00811736" w:rsidP="00811736">
      <w:pPr>
        <w:pStyle w:val="a3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811736">
        <w:rPr>
          <w:rFonts w:ascii="Times New Roman" w:hAnsi="Times New Roman"/>
          <w:sz w:val="27"/>
          <w:szCs w:val="27"/>
          <w:shd w:val="clear" w:color="auto" w:fill="FFFFFF"/>
        </w:rPr>
        <w:t xml:space="preserve">Целью проекта решения является пополнение доходной части бюджета округа. Предполагается, что в предстоящем бюджетом цикле поступления от ввода туристического налога составят </w:t>
      </w:r>
      <w:r w:rsidR="00E14E26">
        <w:rPr>
          <w:rFonts w:ascii="Times New Roman" w:hAnsi="Times New Roman"/>
          <w:sz w:val="27"/>
          <w:szCs w:val="27"/>
          <w:shd w:val="clear" w:color="auto" w:fill="FFFFFF"/>
        </w:rPr>
        <w:t xml:space="preserve">по </w:t>
      </w:r>
      <w:r w:rsidRPr="00811736">
        <w:rPr>
          <w:rFonts w:ascii="Times New Roman" w:hAnsi="Times New Roman"/>
          <w:sz w:val="27"/>
          <w:szCs w:val="27"/>
          <w:shd w:val="clear" w:color="auto" w:fill="FFFFFF"/>
        </w:rPr>
        <w:t xml:space="preserve">7 млн. рублей ежегодно. </w:t>
      </w:r>
    </w:p>
    <w:p w:rsidR="00811736" w:rsidRPr="00811736" w:rsidRDefault="00811736" w:rsidP="00811736">
      <w:pPr>
        <w:pStyle w:val="a3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811736">
        <w:rPr>
          <w:rFonts w:ascii="Times New Roman" w:hAnsi="Times New Roman"/>
          <w:sz w:val="27"/>
          <w:szCs w:val="27"/>
          <w:shd w:val="clear" w:color="auto" w:fill="FFFFFF"/>
        </w:rPr>
        <w:t xml:space="preserve">По итогам проведенной экспертизы, Контрольно-счетная палата </w:t>
      </w:r>
      <w:r w:rsidRPr="00811736">
        <w:rPr>
          <w:rFonts w:ascii="Times New Roman" w:hAnsi="Times New Roman"/>
          <w:sz w:val="27"/>
          <w:szCs w:val="27"/>
        </w:rPr>
        <w:t>Великоустюгского муниципального округа</w:t>
      </w:r>
      <w:r w:rsidRPr="00811736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811736">
        <w:rPr>
          <w:rFonts w:ascii="Times New Roman" w:hAnsi="Times New Roman"/>
          <w:sz w:val="27"/>
          <w:szCs w:val="27"/>
          <w:shd w:val="clear" w:color="auto" w:fill="FFFFFF"/>
        </w:rPr>
        <w:t>считает, что</w:t>
      </w:r>
      <w:r w:rsidR="003C72DF">
        <w:rPr>
          <w:rFonts w:ascii="Times New Roman" w:hAnsi="Times New Roman"/>
          <w:sz w:val="27"/>
          <w:szCs w:val="27"/>
          <w:shd w:val="clear" w:color="auto" w:fill="FFFFFF"/>
        </w:rPr>
        <w:t xml:space="preserve"> проект решения не противоречит</w:t>
      </w:r>
      <w:r w:rsidR="00E14E26">
        <w:rPr>
          <w:rFonts w:ascii="Times New Roman" w:hAnsi="Times New Roman"/>
          <w:sz w:val="27"/>
          <w:szCs w:val="27"/>
          <w:shd w:val="clear" w:color="auto" w:fill="FFFFFF"/>
        </w:rPr>
        <w:t xml:space="preserve"> нормам</w:t>
      </w:r>
      <w:r w:rsidR="003C72DF">
        <w:rPr>
          <w:rFonts w:ascii="Times New Roman" w:hAnsi="Times New Roman"/>
          <w:sz w:val="27"/>
          <w:szCs w:val="27"/>
          <w:shd w:val="clear" w:color="auto" w:fill="FFFFFF"/>
        </w:rPr>
        <w:t xml:space="preserve"> действующе</w:t>
      </w:r>
      <w:r w:rsidR="00E14E26">
        <w:rPr>
          <w:rFonts w:ascii="Times New Roman" w:hAnsi="Times New Roman"/>
          <w:sz w:val="27"/>
          <w:szCs w:val="27"/>
          <w:shd w:val="clear" w:color="auto" w:fill="FFFFFF"/>
        </w:rPr>
        <w:t>го</w:t>
      </w:r>
      <w:r w:rsidR="003C72DF">
        <w:rPr>
          <w:rFonts w:ascii="Times New Roman" w:hAnsi="Times New Roman"/>
          <w:sz w:val="27"/>
          <w:szCs w:val="27"/>
          <w:shd w:val="clear" w:color="auto" w:fill="FFFFFF"/>
        </w:rPr>
        <w:t xml:space="preserve"> законодательств</w:t>
      </w:r>
      <w:r w:rsidR="00E14E26">
        <w:rPr>
          <w:rFonts w:ascii="Times New Roman" w:hAnsi="Times New Roman"/>
          <w:sz w:val="27"/>
          <w:szCs w:val="27"/>
          <w:shd w:val="clear" w:color="auto" w:fill="FFFFFF"/>
        </w:rPr>
        <w:t>а</w:t>
      </w:r>
      <w:r w:rsidRPr="00811736">
        <w:rPr>
          <w:rFonts w:ascii="Times New Roman" w:hAnsi="Times New Roman"/>
          <w:sz w:val="27"/>
          <w:szCs w:val="27"/>
          <w:shd w:val="clear" w:color="auto" w:fill="FFFFFF"/>
        </w:rPr>
        <w:t>:</w:t>
      </w:r>
    </w:p>
    <w:p w:rsidR="0001351A" w:rsidRDefault="0001351A" w:rsidP="0001351A">
      <w:pPr>
        <w:pStyle w:val="a3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904934">
        <w:rPr>
          <w:rFonts w:ascii="Times New Roman" w:hAnsi="Times New Roman"/>
          <w:sz w:val="28"/>
          <w:szCs w:val="28"/>
        </w:rPr>
        <w:t>По итогам проведенной экспертизы подготовлено экспертное заключение от 2</w:t>
      </w:r>
      <w:r>
        <w:rPr>
          <w:rFonts w:ascii="Times New Roman" w:hAnsi="Times New Roman"/>
          <w:sz w:val="28"/>
          <w:szCs w:val="28"/>
        </w:rPr>
        <w:t>2</w:t>
      </w:r>
      <w:r w:rsidRPr="00904934">
        <w:rPr>
          <w:rFonts w:ascii="Times New Roman" w:hAnsi="Times New Roman"/>
          <w:sz w:val="28"/>
          <w:szCs w:val="28"/>
        </w:rPr>
        <w:t>.11.202</w:t>
      </w:r>
      <w:r>
        <w:rPr>
          <w:rFonts w:ascii="Times New Roman" w:hAnsi="Times New Roman"/>
          <w:sz w:val="28"/>
          <w:szCs w:val="28"/>
        </w:rPr>
        <w:t>4</w:t>
      </w:r>
      <w:r w:rsidRPr="0090493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26</w:t>
      </w:r>
      <w:r w:rsidRPr="00904934">
        <w:rPr>
          <w:rFonts w:ascii="Times New Roman" w:hAnsi="Times New Roman"/>
          <w:sz w:val="28"/>
          <w:szCs w:val="28"/>
        </w:rPr>
        <w:t xml:space="preserve">/Э, </w:t>
      </w:r>
      <w:r>
        <w:rPr>
          <w:rFonts w:ascii="Times New Roman" w:hAnsi="Times New Roman"/>
          <w:sz w:val="28"/>
          <w:szCs w:val="28"/>
        </w:rPr>
        <w:t>направленное в Великоустюгскую Думу.</w:t>
      </w:r>
    </w:p>
    <w:p w:rsidR="00EF67DA" w:rsidRDefault="00EF67DA" w:rsidP="002928EE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sectPr w:rsidR="00EF67DA" w:rsidSect="009835B1">
      <w:headerReference w:type="default" r:id="rId7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355" w:rsidRPr="0072698A" w:rsidRDefault="00385355" w:rsidP="0072698A">
      <w:pPr>
        <w:pStyle w:val="1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1">
    <w:p w:rsidR="00385355" w:rsidRPr="0072698A" w:rsidRDefault="00385355" w:rsidP="0072698A">
      <w:pPr>
        <w:pStyle w:val="1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355" w:rsidRPr="0072698A" w:rsidRDefault="00385355" w:rsidP="0072698A">
      <w:pPr>
        <w:pStyle w:val="1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1">
    <w:p w:rsidR="00385355" w:rsidRPr="0072698A" w:rsidRDefault="00385355" w:rsidP="0072698A">
      <w:pPr>
        <w:pStyle w:val="1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49329"/>
      <w:docPartObj>
        <w:docPartGallery w:val="Page Numbers (Top of Page)"/>
        <w:docPartUnique/>
      </w:docPartObj>
    </w:sdtPr>
    <w:sdtContent>
      <w:p w:rsidR="0072698A" w:rsidRDefault="00B406D5">
        <w:pPr>
          <w:pStyle w:val="a7"/>
          <w:jc w:val="center"/>
        </w:pPr>
        <w:fldSimple w:instr=" PAGE   \* MERGEFORMAT ">
          <w:r w:rsidR="00811736">
            <w:rPr>
              <w:noProof/>
            </w:rPr>
            <w:t>2</w:t>
          </w:r>
        </w:fldSimple>
      </w:p>
    </w:sdtContent>
  </w:sdt>
  <w:p w:rsidR="0072698A" w:rsidRDefault="0072698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1865"/>
    <w:rsid w:val="0001351A"/>
    <w:rsid w:val="00014A31"/>
    <w:rsid w:val="00052C7E"/>
    <w:rsid w:val="00120646"/>
    <w:rsid w:val="001B1B96"/>
    <w:rsid w:val="001B2E49"/>
    <w:rsid w:val="00204E68"/>
    <w:rsid w:val="002928EE"/>
    <w:rsid w:val="002C2385"/>
    <w:rsid w:val="002F23CB"/>
    <w:rsid w:val="00385355"/>
    <w:rsid w:val="003B6B69"/>
    <w:rsid w:val="003C72DF"/>
    <w:rsid w:val="00443C08"/>
    <w:rsid w:val="0045582B"/>
    <w:rsid w:val="00492B94"/>
    <w:rsid w:val="0057590B"/>
    <w:rsid w:val="00593F03"/>
    <w:rsid w:val="00684268"/>
    <w:rsid w:val="006C16C8"/>
    <w:rsid w:val="006C53C8"/>
    <w:rsid w:val="006F0A55"/>
    <w:rsid w:val="0072698A"/>
    <w:rsid w:val="007B1865"/>
    <w:rsid w:val="00811736"/>
    <w:rsid w:val="008A6F42"/>
    <w:rsid w:val="008B0F3D"/>
    <w:rsid w:val="008D0FAC"/>
    <w:rsid w:val="00904934"/>
    <w:rsid w:val="00935B3E"/>
    <w:rsid w:val="00951FAF"/>
    <w:rsid w:val="009835B1"/>
    <w:rsid w:val="009A1202"/>
    <w:rsid w:val="009A2E01"/>
    <w:rsid w:val="009A3930"/>
    <w:rsid w:val="00A25AA4"/>
    <w:rsid w:val="00A41ED2"/>
    <w:rsid w:val="00AB66EE"/>
    <w:rsid w:val="00AF3850"/>
    <w:rsid w:val="00B406D5"/>
    <w:rsid w:val="00B42D57"/>
    <w:rsid w:val="00BD1C05"/>
    <w:rsid w:val="00C10CF5"/>
    <w:rsid w:val="00CC2F1F"/>
    <w:rsid w:val="00CE694A"/>
    <w:rsid w:val="00D73C77"/>
    <w:rsid w:val="00D77D42"/>
    <w:rsid w:val="00D95A61"/>
    <w:rsid w:val="00DE2AE0"/>
    <w:rsid w:val="00E14E26"/>
    <w:rsid w:val="00EF67DA"/>
    <w:rsid w:val="00F06019"/>
    <w:rsid w:val="00FA2C0B"/>
    <w:rsid w:val="00FD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B186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B1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86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EF67DA"/>
    <w:pPr>
      <w:suppressAutoHyphens/>
      <w:ind w:left="720"/>
    </w:pPr>
    <w:rPr>
      <w:rFonts w:ascii="Calibri" w:eastAsia="Times New Roman" w:hAnsi="Calibri" w:cs="Calibri"/>
      <w:lang w:eastAsia="zh-CN"/>
    </w:rPr>
  </w:style>
  <w:style w:type="character" w:customStyle="1" w:styleId="a4">
    <w:name w:val="Без интервала Знак"/>
    <w:link w:val="a3"/>
    <w:uiPriority w:val="99"/>
    <w:rsid w:val="00EF67DA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26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698A"/>
  </w:style>
  <w:style w:type="paragraph" w:styleId="a9">
    <w:name w:val="footer"/>
    <w:basedOn w:val="a"/>
    <w:link w:val="aa"/>
    <w:uiPriority w:val="99"/>
    <w:semiHidden/>
    <w:unhideWhenUsed/>
    <w:rsid w:val="00726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698A"/>
  </w:style>
  <w:style w:type="character" w:styleId="ab">
    <w:name w:val="Strong"/>
    <w:qFormat/>
    <w:rsid w:val="002F23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Горбунова</dc:creator>
  <cp:lastModifiedBy>Елена Жданова</cp:lastModifiedBy>
  <cp:revision>11</cp:revision>
  <dcterms:created xsi:type="dcterms:W3CDTF">2023-12-01T13:04:00Z</dcterms:created>
  <dcterms:modified xsi:type="dcterms:W3CDTF">2024-12-28T14:17:00Z</dcterms:modified>
</cp:coreProperties>
</file>