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208" w:type="dxa"/>
        <w:jc w:val="lef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</w:tblPr>
      <w:tblGrid>
        <w:gridCol w:w="10208"/>
      </w:tblGrid>
      <w:tr>
        <w:trPr>
          <w:trHeight w:val="2791" w:hRule="exact"/>
        </w:trPr>
        <w:tc>
          <w:tcPr>
            <w:tcW w:w="10208" w:type="dxa"/>
            <w:tcBorders/>
          </w:tcPr>
          <w:p>
            <w:pPr>
              <w:pStyle w:val="ConsPlusTitlePage"/>
              <w:tabs>
                <w:tab w:val="clear" w:pos="720"/>
              </w:tabs>
              <w:ind w:left="0" w:right="0" w:hanging="0"/>
              <w:jc w:val="left"/>
              <w:rPr/>
            </w:pPr>
            <w:r>
              <w:rPr/>
              <w:drawing>
                <wp:inline distT="0" distB="0" distL="0" distR="0">
                  <wp:extent cx="3810000" cy="904875"/>
                  <wp:effectExtent l="0" t="0" r="0" b="0"/>
                  <wp:docPr id="1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7676" w:hRule="exact"/>
        </w:trPr>
        <w:tc>
          <w:tcPr>
            <w:tcW w:w="10208" w:type="dxa"/>
            <w:tcBorders/>
            <w:vAlign w:val="center"/>
          </w:tcPr>
          <w:p>
            <w:pPr>
              <w:pStyle w:val="ConsPlusTitlePag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48"/>
              </w:rPr>
              <w:t>Приказ Департамента сельского хозяйства и продовольственных ресурсов Вологодской области от 06.09.2024 N 332</w:t>
              <w:br/>
              <w:t>"О реализации постановления Правительства Вологодской области от 24 декабря 2019 года N 1300 "О государственной программе "Экономическое развитие Вологодской области"</w:t>
            </w:r>
          </w:p>
        </w:tc>
      </w:tr>
      <w:tr>
        <w:trPr>
          <w:trHeight w:val="2791" w:hRule="exact"/>
        </w:trPr>
        <w:tc>
          <w:tcPr>
            <w:tcW w:w="10208" w:type="dxa"/>
            <w:tcBorders/>
            <w:vAlign w:val="center"/>
          </w:tcPr>
          <w:p>
            <w:pPr>
              <w:pStyle w:val="ConsPlusTitlePag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sz w:val="28"/>
              </w:rPr>
              <w:t xml:space="preserve">Документ предоставлен </w:t>
            </w:r>
            <w:hyperlink r:id="rId3">
              <w:r>
                <w:rPr>
                  <w:b/>
                  <w:color w:val="0000FF"/>
                  <w:sz w:val="28"/>
                </w:rPr>
                <w:t>КонсультантПлюс</w:t>
                <w:br/>
                <w:br/>
              </w:r>
            </w:hyperlink>
            <w:hyperlink r:id="rId4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  <w:br/>
              <w:t>Дата сохранения: 02.10.2024</w:t>
              <w:br/>
              <w:t> </w:t>
            </w:r>
          </w:p>
        </w:tc>
      </w:tr>
    </w:tbl>
    <w:p>
      <w:pPr>
        <w:pStyle w:val="ConsPlusNormal"/>
        <w:jc w:val="left"/>
        <w:rPr>
          <w:rFonts w:ascii="Tahoma" w:hAnsi="Tahoma"/>
          <w:sz w:val="28"/>
        </w:rPr>
      </w:pPr>
      <w:r>
        <w:rPr>
          <w:rFonts w:ascii="Tahoma" w:hAnsi="Tahoma"/>
          <w:sz w:val="28"/>
        </w:rPr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Title"/>
        <w:ind w:left="0" w:right="0" w:hanging="0"/>
        <w:jc w:val="center"/>
        <w:rPr/>
      </w:pPr>
      <w:r>
        <w:rPr/>
        <w:t>ДЕПАРТАМЕНТ СЕЛЬСКОГО ХОЗЯЙСТВА И ПРОДОВОЛЬСТВЕННЫХ РЕСУРСОВ</w:t>
      </w:r>
    </w:p>
    <w:p>
      <w:pPr>
        <w:pStyle w:val="ConsPlusTitle"/>
        <w:ind w:left="0" w:right="0" w:hanging="0"/>
        <w:jc w:val="center"/>
        <w:rPr/>
      </w:pPr>
      <w:r>
        <w:rPr/>
        <w:t>ВОЛОГОДСКОЙ ОБЛАСТИ</w:t>
      </w:r>
    </w:p>
    <w:p>
      <w:pPr>
        <w:pStyle w:val="ConsPlusTitle"/>
        <w:ind w:left="0" w:right="0" w:hanging="0"/>
        <w:jc w:val="both"/>
        <w:rPr/>
      </w:pPr>
      <w:r>
        <w:rPr/>
      </w:r>
    </w:p>
    <w:p>
      <w:pPr>
        <w:pStyle w:val="ConsPlusTitle"/>
        <w:ind w:left="0" w:right="0" w:hanging="0"/>
        <w:jc w:val="center"/>
        <w:rPr/>
      </w:pPr>
      <w:r>
        <w:rPr/>
        <w:t>ПРИКАЗ</w:t>
      </w:r>
    </w:p>
    <w:p>
      <w:pPr>
        <w:pStyle w:val="ConsPlusTitle"/>
        <w:ind w:left="0" w:right="0" w:hanging="0"/>
        <w:jc w:val="center"/>
        <w:rPr/>
      </w:pPr>
      <w:r>
        <w:rPr/>
        <w:t>от 6 сентября 2024 г. N 332</w:t>
      </w:r>
    </w:p>
    <w:p>
      <w:pPr>
        <w:pStyle w:val="ConsPlusTitle"/>
        <w:ind w:left="0" w:right="0" w:hanging="0"/>
        <w:jc w:val="both"/>
        <w:rPr/>
      </w:pPr>
      <w:r>
        <w:rPr/>
      </w:r>
    </w:p>
    <w:p>
      <w:pPr>
        <w:pStyle w:val="ConsPlusTitle"/>
        <w:ind w:left="0" w:right="0" w:hanging="0"/>
        <w:jc w:val="center"/>
        <w:rPr/>
      </w:pPr>
      <w:r>
        <w:rPr/>
        <w:t>О РЕАЛИЗАЦИИ ПОСТАНОВЛЕНИЯ ПРАВИТЕЛЬСТВА ВОЛОГОДСКОЙ ОБЛАСТИ</w:t>
      </w:r>
    </w:p>
    <w:p>
      <w:pPr>
        <w:pStyle w:val="ConsPlusTitle"/>
        <w:ind w:left="0" w:right="0" w:hanging="0"/>
        <w:jc w:val="center"/>
        <w:rPr/>
      </w:pPr>
      <w:r>
        <w:rPr/>
        <w:t>ОТ 24 ДЕКАБРЯ 2019 ГОДА N 1300 "О ГОСУДАРСТВЕННОЙ ПРОГРАММЕ</w:t>
      </w:r>
    </w:p>
    <w:p>
      <w:pPr>
        <w:pStyle w:val="ConsPlusTitle"/>
        <w:ind w:left="0" w:right="0" w:hanging="0"/>
        <w:jc w:val="center"/>
        <w:rPr/>
      </w:pPr>
      <w:r>
        <w:rPr/>
        <w:t>"ЭКОНОМИЧЕСКОЕ РАЗВИТИЕ ВОЛОГОДСКОЙ ОБЛАСТИ"</w:t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  <w:t xml:space="preserve">В целях реализации Правил предоставления и распределения субсидий местным бюджетам на приобретение мобильных пунктов быстрого питания, утвержденных </w:t>
      </w:r>
      <w:hyperlink r:id="rId5">
        <w:r>
          <w:rPr>
            <w:color w:val="0000FF"/>
          </w:rPr>
          <w:t>постановлением</w:t>
        </w:r>
      </w:hyperlink>
      <w:r>
        <w:rPr/>
        <w:t xml:space="preserve"> Правительства Вологодской области от 24 декабря 2019 года N 1300 "О государственной программе "Экономическое развитие Вологодской области" (далее - Правила) приказываю: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1. Утвердить в соответствии с пунктом 7.1 Правил </w:t>
      </w:r>
      <w:hyperlink w:anchor="Par27" w:tgtFrame="ОПИСАНИЕ (ДИЗАЙН-МАКЕТ)">
        <w:r>
          <w:rPr>
            <w:color w:val="0000FF"/>
          </w:rPr>
          <w:t>описание</w:t>
        </w:r>
      </w:hyperlink>
      <w:r>
        <w:rPr/>
        <w:t xml:space="preserve"> внешнего облика мобильного пункта быстрого питания согласно приложению 1 к настоящему приказу.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2. Настоящий приказ вступает в силу со дня его официального опубликования.</w:t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Исполняющий обязанности</w:t>
      </w:r>
    </w:p>
    <w:p>
      <w:pPr>
        <w:pStyle w:val="ConsPlusNormal"/>
        <w:ind w:left="0" w:right="0" w:hanging="0"/>
        <w:jc w:val="right"/>
        <w:rPr/>
      </w:pPr>
      <w:r>
        <w:rPr/>
        <w:t>начальника Департамента</w:t>
      </w:r>
    </w:p>
    <w:p>
      <w:pPr>
        <w:pStyle w:val="ConsPlusNormal"/>
        <w:ind w:left="0" w:right="0" w:hanging="0"/>
        <w:jc w:val="right"/>
        <w:rPr/>
      </w:pPr>
      <w:r>
        <w:rPr/>
        <w:t>Н.В.ВИНОГРАДОВ</w:t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</w:t>
      </w:r>
    </w:p>
    <w:p>
      <w:pPr>
        <w:pStyle w:val="ConsPlusNormal"/>
        <w:ind w:left="0" w:right="0" w:hanging="0"/>
        <w:jc w:val="right"/>
        <w:rPr/>
      </w:pPr>
      <w:r>
        <w:rPr/>
        <w:t>к Приказу</w:t>
      </w:r>
    </w:p>
    <w:p>
      <w:pPr>
        <w:pStyle w:val="ConsPlusNormal"/>
        <w:ind w:left="0" w:right="0" w:hanging="0"/>
        <w:jc w:val="right"/>
        <w:rPr/>
      </w:pPr>
      <w:r>
        <w:rPr/>
        <w:t>от 6 сентября 2024 г. N 332</w:t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Title"/>
        <w:ind w:left="0" w:right="0" w:hanging="0"/>
        <w:jc w:val="center"/>
        <w:rPr/>
      </w:pPr>
      <w:bookmarkStart w:id="0" w:name="Par27"/>
      <w:bookmarkEnd w:id="0"/>
      <w:r>
        <w:rPr/>
        <w:t>ОПИСАНИЕ (ДИЗАЙН-МАКЕТ)</w:t>
      </w:r>
    </w:p>
    <w:p>
      <w:pPr>
        <w:pStyle w:val="ConsPlusTitle"/>
        <w:ind w:left="0" w:right="0" w:hanging="0"/>
        <w:jc w:val="center"/>
        <w:rPr/>
      </w:pPr>
      <w:r>
        <w:rPr/>
        <w:t>МОБИЛЬНОГО ПУНКТА БЫСТРОГО ПИТАНИЯ</w:t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  <w:t>1. Дизайн-макет разработан в целях установления единого оформления мобильного пункта быстрого питания (далее - фудтрака), предназначенного для приготовления, хранения и продажи готовой еды.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2. Дизайн - макет утверждает требования к стилю оформления, использования товарного знака, обязательного для нанесения на фудтрак.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3. Необходимо обеспечить нанесение изображения товарного знака: "Вологодская область - Душа Русского Севера" (Свидетельство на товарный знак (знак обслуживания) N 581236), при использовании которого руководствоваться </w:t>
      </w:r>
      <w:hyperlink r:id="rId6">
        <w:r>
          <w:rPr>
            <w:color w:val="0000FF"/>
          </w:rPr>
          <w:t>постановлением</w:t>
        </w:r>
      </w:hyperlink>
      <w:r>
        <w:rPr/>
        <w:t xml:space="preserve"> Правительства Вологодской области от 16 января 2017 N 33 "О Порядке использования товарных знаков (знаков обслуживания), правообладателем которых является Правительство области". При нанесении элементов декора и изображения товарного знака использовать </w:t>
      </w:r>
      <w:hyperlink w:anchor="Par43" w:tgtFrame="МАКЕТ">
        <w:r>
          <w:rPr>
            <w:color w:val="0000FF"/>
          </w:rPr>
          <w:t>макет</w:t>
        </w:r>
      </w:hyperlink>
      <w:r>
        <w:rPr/>
        <w:t xml:space="preserve"> согласно Приложению к описанию.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4. Для оформления мобильного пункта быстрого питания должна использоваться следующая цветовая гамма: красный цвет - для фонового покрытия мобильного пункта быстрого питания, белый цвет - для нанесения элементов декора и изображения товарного знака.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5. Требования к оформлению корпуса мобильного пункта быстрого питания: покрытие красного цвета, способом нанесения, обеспечивающим нестираемость и сохранение яркости цвета. При размещении изображения товарного знака и надписей использовать белый цвет способом нанесения, обеспечивающим нестираемость рисунка. Изображение должно иметь зону покрытия не менее 50% мобильного объекта и сохранять целостность при открытии зоны обслуживания покупателей.</w:t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</w:t>
      </w:r>
    </w:p>
    <w:p>
      <w:pPr>
        <w:pStyle w:val="ConsPlusNormal"/>
        <w:ind w:left="0" w:right="0" w:hanging="0"/>
        <w:jc w:val="right"/>
        <w:rPr/>
      </w:pPr>
      <w:r>
        <w:rPr/>
        <w:t>к Описанию</w:t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Title"/>
        <w:ind w:left="0" w:right="0" w:hanging="0"/>
        <w:jc w:val="center"/>
        <w:rPr/>
      </w:pPr>
      <w:bookmarkStart w:id="1" w:name="Par43"/>
      <w:bookmarkEnd w:id="1"/>
      <w:r>
        <w:rPr/>
        <w:t>МАКЕТ</w:t>
      </w:r>
    </w:p>
    <w:p>
      <w:pPr>
        <w:pStyle w:val="ConsPlusTitle"/>
        <w:ind w:left="0" w:right="0" w:hanging="0"/>
        <w:jc w:val="center"/>
        <w:rPr/>
      </w:pPr>
      <w:r>
        <w:rPr/>
        <w:t>ДЛЯ ОФОРМЛЕНИЯ МОБИЛЬНОГО ПУНКТА БЫСТРОГО ПИТАНИЯ</w:t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center"/>
        <w:rPr/>
      </w:pPr>
      <w:r>
        <w:rPr/>
        <w:t>Рисунок не приводится.</w:t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ind w:left="0" w:right="0" w:hanging="0"/>
        <w:jc w:val="left"/>
        <w:rPr/>
      </w:pPr>
      <w:r>
        <w:rPr/>
      </w:r>
    </w:p>
    <w:p>
      <w:pPr>
        <w:pStyle w:val="ConsPlusNormal"/>
        <w:pBdr>
          <w:top w:val="single" w:sz="6" w:space="0" w:color="000000"/>
        </w:pBdr>
        <w:spacing w:before="100" w:after="100"/>
        <w:ind w:left="0" w:right="0" w:hanging="0"/>
        <w:jc w:val="both"/>
        <w:rPr/>
      </w:pPr>
      <w:r>
        <w:rPr/>
      </w:r>
    </w:p>
    <w:sectPr>
      <w:type w:val="nextPage"/>
      <w:pgSz w:w="11906" w:h="16838"/>
      <w:pgMar w:left="1133" w:right="566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93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Arial Unicode MS" w:cs="Arial Unicode M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PT Astra Serif" w:hAnsi="PT Astra Serif" w:eastAsia="Tahoma" w:cs="Noto Sans Devanagari"/>
      <w:color w:val="auto"/>
      <w:kern w:val="2"/>
      <w:sz w:val="24"/>
      <w:szCs w:val="24"/>
      <w:lang w:val="ru-RU" w:eastAsia="zh-CN" w:bidi="hi-IN"/>
    </w:rPr>
  </w:style>
  <w:style w:type="character" w:styleId="-">
    <w:name w:val="Hyperlink"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>
      <w:spacing w:lineRule="auto" w:line="276" w:before="0" w:after="140"/>
    </w:pPr>
    <w:rPr/>
  </w:style>
  <w:style w:type="paragraph" w:styleId="Style17">
    <w:name w:val="Caption"/>
    <w:basedOn w:val="Normal"/>
    <w:qFormat/>
    <w:pPr>
      <w:spacing w:before="120" w:after="120"/>
    </w:pPr>
    <w:rPr>
      <w:i/>
      <w:iCs/>
    </w:rPr>
  </w:style>
  <w:style w:type="paragraph" w:styleId="Style18">
    <w:name w:val="Указатель"/>
    <w:basedOn w:val="Normal"/>
    <w:qFormat/>
    <w:pPr/>
    <w:rPr/>
  </w:style>
  <w:style w:type="paragraph" w:styleId="ConsPlusNormal">
    <w:name w:val="ConsPlusNormal"/>
    <w:qFormat/>
    <w:pPr>
      <w:widowControl w:val="false"/>
      <w:suppressAutoHyphens w:val="true"/>
      <w:bidi w:val="0"/>
    </w:pPr>
    <w:rPr>
      <w:rFonts w:ascii="Times New Roman" w:hAnsi="Times New Roman" w:eastAsia="Arial" w:cs="Courier New"/>
      <w:b w:val="false"/>
      <w:i w:val="false"/>
      <w:strike w:val="false"/>
      <w:dstrike w:val="false"/>
      <w:color w:val="auto"/>
      <w:kern w:val="2"/>
      <w:sz w:val="24"/>
      <w:szCs w:val="24"/>
      <w:u w:val="none"/>
      <w:lang w:val="ru-RU" w:eastAsia="zh-CN" w:bidi="hi-IN"/>
    </w:rPr>
  </w:style>
  <w:style w:type="paragraph" w:styleId="ConsPlusNonformat">
    <w:name w:val="ConsPlusNonformat"/>
    <w:qFormat/>
    <w:pPr>
      <w:widowControl w:val="false"/>
      <w:suppressAutoHyphens w:val="true"/>
      <w:bidi w:val="0"/>
    </w:pPr>
    <w:rPr>
      <w:rFonts w:ascii="Courier New" w:hAnsi="Courier New" w:eastAsia="Arial" w:cs="Courier New"/>
      <w:b w:val="false"/>
      <w:i w:val="false"/>
      <w:strike w:val="false"/>
      <w:dstrike w:val="false"/>
      <w:color w:val="auto"/>
      <w:kern w:val="2"/>
      <w:sz w:val="20"/>
      <w:szCs w:val="24"/>
      <w:u w:val="none"/>
      <w:lang w:val="ru-RU" w:eastAsia="zh-CN" w:bidi="hi-IN"/>
    </w:rPr>
  </w:style>
  <w:style w:type="paragraph" w:styleId="ConsPlusTitle">
    <w:name w:val="ConsPlusTitle"/>
    <w:qFormat/>
    <w:pPr>
      <w:widowControl w:val="false"/>
      <w:suppressAutoHyphens w:val="true"/>
      <w:bidi w:val="0"/>
    </w:pPr>
    <w:rPr>
      <w:rFonts w:ascii="Arial" w:hAnsi="Arial" w:eastAsia="Arial" w:cs="Courier New"/>
      <w:b/>
      <w:i w:val="false"/>
      <w:strike w:val="false"/>
      <w:dstrike w:val="false"/>
      <w:color w:val="auto"/>
      <w:kern w:val="2"/>
      <w:sz w:val="24"/>
      <w:szCs w:val="24"/>
      <w:u w:val="none"/>
      <w:lang w:val="ru-RU" w:eastAsia="zh-CN" w:bidi="hi-IN"/>
    </w:rPr>
  </w:style>
  <w:style w:type="paragraph" w:styleId="ConsPlusCell">
    <w:name w:val="ConsPlusCell"/>
    <w:qFormat/>
    <w:pPr>
      <w:widowControl w:val="false"/>
      <w:suppressAutoHyphens w:val="true"/>
      <w:bidi w:val="0"/>
    </w:pPr>
    <w:rPr>
      <w:rFonts w:ascii="Courier New" w:hAnsi="Courier New" w:eastAsia="Arial" w:cs="Courier New"/>
      <w:b w:val="false"/>
      <w:i w:val="false"/>
      <w:strike w:val="false"/>
      <w:dstrike w:val="false"/>
      <w:color w:val="auto"/>
      <w:kern w:val="2"/>
      <w:sz w:val="20"/>
      <w:szCs w:val="24"/>
      <w:u w:val="none"/>
      <w:lang w:val="ru-RU" w:eastAsia="zh-CN" w:bidi="hi-IN"/>
    </w:rPr>
  </w:style>
  <w:style w:type="paragraph" w:styleId="ConsPlusDocList">
    <w:name w:val="ConsPlusDocList"/>
    <w:qFormat/>
    <w:pPr>
      <w:widowControl w:val="false"/>
      <w:suppressAutoHyphens w:val="true"/>
      <w:bidi w:val="0"/>
    </w:pPr>
    <w:rPr>
      <w:rFonts w:ascii="Tahoma" w:hAnsi="Tahoma" w:eastAsia="Arial" w:cs="Courier New"/>
      <w:b w:val="false"/>
      <w:i w:val="false"/>
      <w:strike w:val="false"/>
      <w:dstrike w:val="false"/>
      <w:color w:val="auto"/>
      <w:kern w:val="2"/>
      <w:sz w:val="18"/>
      <w:szCs w:val="24"/>
      <w:u w:val="none"/>
      <w:lang w:val="ru-RU" w:eastAsia="zh-CN" w:bidi="hi-IN"/>
    </w:rPr>
  </w:style>
  <w:style w:type="paragraph" w:styleId="ConsPlusTitlePage">
    <w:name w:val="ConsPlusTitlePage"/>
    <w:qFormat/>
    <w:pPr>
      <w:widowControl w:val="false"/>
      <w:suppressAutoHyphens w:val="true"/>
      <w:bidi w:val="0"/>
    </w:pPr>
    <w:rPr>
      <w:rFonts w:ascii="Tahoma" w:hAnsi="Tahoma" w:eastAsia="Arial" w:cs="Courier New"/>
      <w:b w:val="false"/>
      <w:i w:val="false"/>
      <w:strike w:val="false"/>
      <w:dstrike w:val="false"/>
      <w:color w:val="auto"/>
      <w:kern w:val="2"/>
      <w:sz w:val="24"/>
      <w:szCs w:val="24"/>
      <w:u w:val="none"/>
      <w:lang w:val="ru-RU" w:eastAsia="zh-CN" w:bidi="hi-IN"/>
    </w:rPr>
  </w:style>
  <w:style w:type="paragraph" w:styleId="ConsPlusJurTerm">
    <w:name w:val="ConsPlusJurTerm"/>
    <w:qFormat/>
    <w:pPr>
      <w:widowControl w:val="false"/>
      <w:suppressAutoHyphens w:val="true"/>
      <w:bidi w:val="0"/>
    </w:pPr>
    <w:rPr>
      <w:rFonts w:ascii="Tahoma" w:hAnsi="Tahoma" w:eastAsia="Arial" w:cs="Courier New"/>
      <w:b w:val="false"/>
      <w:i w:val="false"/>
      <w:strike w:val="false"/>
      <w:dstrike w:val="false"/>
      <w:color w:val="auto"/>
      <w:kern w:val="2"/>
      <w:sz w:val="26"/>
      <w:szCs w:val="24"/>
      <w:u w:val="none"/>
      <w:lang w:val="ru-RU" w:eastAsia="zh-CN" w:bidi="hi-IN"/>
    </w:rPr>
  </w:style>
  <w:style w:type="paragraph" w:styleId="ConsPlusTextList">
    <w:name w:val="ConsPlusTextList"/>
    <w:qFormat/>
    <w:pPr>
      <w:widowControl w:val="false"/>
      <w:suppressAutoHyphens w:val="true"/>
      <w:bidi w:val="0"/>
    </w:pPr>
    <w:rPr>
      <w:rFonts w:ascii="Times New Roman" w:hAnsi="Times New Roman" w:eastAsia="Arial" w:cs="Courier New"/>
      <w:b w:val="false"/>
      <w:i w:val="false"/>
      <w:strike w:val="false"/>
      <w:dstrike w:val="false"/>
      <w:color w:val="auto"/>
      <w:kern w:val="2"/>
      <w:sz w:val="24"/>
      <w:szCs w:val="24"/>
      <w:u w:val="none"/>
      <w:lang w:val="ru-RU" w:eastAsia="zh-CN" w:bidi="hi-IN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Style19"/>
    <w:pPr/>
    <w:rPr/>
  </w:style>
  <w:style w:type="paragraph" w:styleId="Style21">
    <w:name w:val="Footer"/>
    <w:basedOn w:val="Style19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consultant.ru/" TargetMode="External"/><Relationship Id="rId4" Type="http://schemas.openxmlformats.org/officeDocument/2006/relationships/hyperlink" Target="https://www.consultant.ru/" TargetMode="External"/><Relationship Id="rId5" Type="http://schemas.openxmlformats.org/officeDocument/2006/relationships/hyperlink" Target="https://login.consultant.ru/link/?req=doc&amp;base=RLAW095&amp;n=239145&amp;date=02.10.2024" TargetMode="External"/><Relationship Id="rId6" Type="http://schemas.openxmlformats.org/officeDocument/2006/relationships/hyperlink" Target="https://login.consultant.ru/link/?req=doc&amp;base=RLAW095&amp;n=137470&amp;date=02.10.2024&amp;dst=100012&amp;field=134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LibreOffice/7.5.6.2$Linux_X86_64 LibreOffice_project/50$Build-2</Application>
  <AppVersion>15.0000</AppVersion>
  <Pages>3</Pages>
  <Words>368</Words>
  <Characters>2647</Characters>
  <CharactersWithSpaces>2989</CharactersWithSpaces>
  <Paragraphs>31</Paragraphs>
  <Company>КонсультантПлюс Версия 4023.00.50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2024-10-02T16:36:00Z</dcterms:created>
  <dc:creator/>
  <dc:description/>
  <dc:language>ru-RU</dc:language>
  <cp:lastModifiedBy/>
  <cp:revision>0</cp:revision>
  <dc:subject/>
  <dc:title>Приказ Департамента сельского хозяйства и продовольственных ресурсов Вологодской области от 06.09.2024 N 332"О реализации постановления Правительства Вологодской области от 24 декабря 2019 года N 1300 "О государственной программе "Экономическое развитие Вологодской области"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